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b/>
          <w:sz w:val="44"/>
          <w:szCs w:val="44"/>
        </w:rPr>
      </w:pPr>
      <w:bookmarkStart w:id="9" w:name="_GoBack"/>
      <w:bookmarkEnd w:id="9"/>
      <w:r>
        <w:rPr>
          <w:rFonts w:hint="eastAsia" w:ascii="方正小标宋_GBK" w:hAnsi="宋体" w:eastAsia="方正小标宋_GBK"/>
          <w:b/>
          <w:sz w:val="44"/>
          <w:szCs w:val="44"/>
        </w:rPr>
        <w:t>重庆医科大学附属口腔医院关于开展</w:t>
      </w:r>
    </w:p>
    <w:p>
      <w:pPr>
        <w:spacing w:line="56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2019年（第一批）医用耗材带量采购</w:t>
      </w:r>
    </w:p>
    <w:p>
      <w:pPr>
        <w:spacing w:line="560" w:lineRule="exact"/>
        <w:jc w:val="center"/>
        <w:rPr>
          <w:rFonts w:ascii="方正仿宋_GBK" w:hAnsi="宋体" w:eastAsia="方正仿宋_GBK"/>
          <w:b/>
          <w:sz w:val="36"/>
          <w:szCs w:val="36"/>
        </w:rPr>
      </w:pPr>
      <w:r>
        <w:rPr>
          <w:rFonts w:hint="eastAsia" w:ascii="方正小标宋_GBK" w:hAnsi="宋体" w:eastAsia="方正小标宋_GBK"/>
          <w:b/>
          <w:sz w:val="44"/>
          <w:szCs w:val="44"/>
        </w:rPr>
        <w:t>实施方案</w:t>
      </w:r>
    </w:p>
    <w:p>
      <w:pPr>
        <w:ind w:firstLine="640" w:firstLineChars="200"/>
        <w:rPr>
          <w:rFonts w:ascii="方正仿宋_GBK" w:eastAsia="方正仿宋_GBK"/>
          <w:sz w:val="32"/>
          <w:szCs w:val="32"/>
        </w:rPr>
      </w:pPr>
    </w:p>
    <w:p>
      <w:pPr>
        <w:spacing w:line="570" w:lineRule="exact"/>
        <w:ind w:firstLine="640" w:firstLineChars="200"/>
        <w:rPr>
          <w:rFonts w:ascii="方正仿宋_GBK" w:eastAsia="方正仿宋_GBK"/>
          <w:sz w:val="32"/>
          <w:szCs w:val="32"/>
        </w:rPr>
      </w:pPr>
      <w:r>
        <w:rPr>
          <w:rFonts w:ascii="方正仿宋_GBK" w:eastAsia="方正仿宋_GBK"/>
          <w:sz w:val="32"/>
          <w:szCs w:val="32"/>
        </w:rPr>
        <w:t>为</w:t>
      </w:r>
      <w:r>
        <w:rPr>
          <w:rFonts w:hint="eastAsia" w:ascii="方正仿宋_GBK" w:eastAsia="方正仿宋_GBK"/>
          <w:sz w:val="32"/>
          <w:szCs w:val="32"/>
        </w:rPr>
        <w:t>有序组织</w:t>
      </w:r>
      <w:r>
        <w:rPr>
          <w:rFonts w:ascii="方正仿宋_GBK" w:eastAsia="方正仿宋_GBK"/>
          <w:sz w:val="32"/>
          <w:szCs w:val="32"/>
        </w:rPr>
        <w:t>实施</w:t>
      </w:r>
      <w:r>
        <w:rPr>
          <w:rFonts w:hint="eastAsia" w:ascii="方正仿宋_GBK" w:eastAsia="方正仿宋_GBK"/>
          <w:sz w:val="32"/>
          <w:szCs w:val="32"/>
        </w:rPr>
        <w:t>2019年（第一批）医用耗材带量</w:t>
      </w:r>
      <w:r>
        <w:rPr>
          <w:rFonts w:ascii="方正仿宋_GBK" w:eastAsia="方正仿宋_GBK"/>
          <w:sz w:val="32"/>
          <w:szCs w:val="32"/>
        </w:rPr>
        <w:t>采购工作</w:t>
      </w:r>
      <w:r>
        <w:rPr>
          <w:rFonts w:hint="eastAsia" w:ascii="方正仿宋_GBK" w:eastAsia="方正仿宋_GBK"/>
          <w:sz w:val="32"/>
          <w:szCs w:val="32"/>
        </w:rPr>
        <w:t>，进一步提高采购效率，促进产品形成合理市场价格，制定本方案。</w:t>
      </w:r>
    </w:p>
    <w:p>
      <w:pPr>
        <w:snapToGrid w:val="0"/>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一、采购目录</w:t>
      </w:r>
    </w:p>
    <w:p>
      <w:pPr>
        <w:snapToGrid w:val="0"/>
        <w:spacing w:line="570" w:lineRule="exact"/>
        <w:ind w:firstLine="640" w:firstLineChars="200"/>
        <w:rPr>
          <w:rFonts w:ascii="方正仿宋_GBK" w:eastAsia="方正仿宋_GBK"/>
          <w:sz w:val="32"/>
          <w:szCs w:val="32"/>
        </w:rPr>
      </w:pPr>
      <w:bookmarkStart w:id="0" w:name="OLE_LINK11"/>
      <w:bookmarkStart w:id="1" w:name="OLE_LINK12"/>
      <w:bookmarkStart w:id="2" w:name="OLE_LINK10"/>
      <w:r>
        <w:rPr>
          <w:rFonts w:hint="eastAsia" w:ascii="方正仿宋_GBK" w:eastAsia="方正仿宋_GBK"/>
          <w:sz w:val="32"/>
          <w:szCs w:val="32"/>
        </w:rPr>
        <w:t>本次</w:t>
      </w:r>
      <w:r>
        <w:rPr>
          <w:rFonts w:ascii="方正仿宋_GBK" w:eastAsia="方正仿宋_GBK"/>
          <w:sz w:val="32"/>
          <w:szCs w:val="32"/>
        </w:rPr>
        <w:t>采购</w:t>
      </w:r>
      <w:r>
        <w:rPr>
          <w:rFonts w:hint="eastAsia" w:ascii="方正仿宋_GBK" w:eastAsia="方正仿宋_GBK"/>
          <w:sz w:val="32"/>
          <w:szCs w:val="32"/>
        </w:rPr>
        <w:t>为种植工具箱</w:t>
      </w:r>
      <w:r>
        <w:rPr>
          <w:rFonts w:ascii="方正仿宋_GBK" w:eastAsia="方正仿宋_GBK"/>
          <w:sz w:val="32"/>
          <w:szCs w:val="32"/>
        </w:rPr>
        <w:t>。</w:t>
      </w:r>
      <w:r>
        <w:rPr>
          <w:rFonts w:hint="eastAsia" w:ascii="方正仿宋_GBK" w:eastAsia="方正仿宋_GBK"/>
          <w:sz w:val="32"/>
          <w:szCs w:val="32"/>
        </w:rPr>
        <w:t>采购目录详见附件1。</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注：申报企业可申报种植工具箱其中一个或多个采购包。</w:t>
      </w:r>
    </w:p>
    <w:bookmarkEnd w:id="0"/>
    <w:bookmarkEnd w:id="1"/>
    <w:bookmarkEnd w:id="2"/>
    <w:p>
      <w:pPr>
        <w:snapToGrid w:val="0"/>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二、采购周期</w:t>
      </w:r>
    </w:p>
    <w:p>
      <w:pPr>
        <w:snapToGrid w:val="0"/>
        <w:spacing w:line="570" w:lineRule="exact"/>
        <w:ind w:firstLine="640" w:firstLineChars="200"/>
        <w:rPr>
          <w:rFonts w:ascii="方正黑体_GBK" w:hAnsi="黑体" w:eastAsia="方正黑体_GBK"/>
          <w:sz w:val="32"/>
          <w:szCs w:val="32"/>
        </w:rPr>
      </w:pPr>
      <w:r>
        <w:rPr>
          <w:rFonts w:hint="eastAsia" w:ascii="方正仿宋_GBK" w:hAnsi="仿宋" w:eastAsia="方正仿宋_GBK"/>
          <w:sz w:val="32"/>
          <w:szCs w:val="32"/>
        </w:rPr>
        <w:t>采购周期为</w:t>
      </w:r>
      <w:bookmarkStart w:id="3" w:name="OLE_LINK5"/>
      <w:bookmarkStart w:id="4" w:name="OLE_LINK4"/>
      <w:bookmarkStart w:id="5" w:name="OLE_LINK9"/>
      <w:bookmarkStart w:id="6" w:name="OLE_LINK7"/>
      <w:bookmarkStart w:id="7" w:name="OLE_LINK8"/>
      <w:bookmarkStart w:id="8" w:name="OLE_LINK6"/>
      <w:r>
        <w:rPr>
          <w:rFonts w:hint="eastAsia" w:ascii="方正仿宋_GBK" w:hAnsi="仿宋" w:eastAsia="方正仿宋_GBK"/>
          <w:sz w:val="32"/>
          <w:szCs w:val="32"/>
        </w:rPr>
        <w:t>2019年5月13日-2020年5月12日。</w:t>
      </w:r>
      <w:bookmarkEnd w:id="3"/>
      <w:bookmarkEnd w:id="4"/>
      <w:bookmarkEnd w:id="5"/>
      <w:bookmarkEnd w:id="6"/>
      <w:bookmarkEnd w:id="7"/>
      <w:bookmarkEnd w:id="8"/>
      <w:r>
        <w:rPr>
          <w:rFonts w:hint="eastAsia" w:ascii="方正仿宋_GBK" w:hAnsi="仿宋" w:eastAsia="方正仿宋_GBK"/>
          <w:sz w:val="32"/>
          <w:szCs w:val="32"/>
        </w:rPr>
        <w:t>若在此采购周期内重庆医科大学附属口腔医院（以下简称“重医口腔医院”）未采购完成上述采购数量，</w:t>
      </w:r>
      <w:r>
        <w:rPr>
          <w:rFonts w:hint="eastAsia" w:ascii="方正仿宋_GBK" w:eastAsia="方正仿宋_GBK"/>
          <w:sz w:val="32"/>
          <w:szCs w:val="32"/>
        </w:rPr>
        <w:t>则采购周期最长顺延不超过3个月</w:t>
      </w:r>
      <w:r>
        <w:rPr>
          <w:rFonts w:hint="eastAsia" w:ascii="方正仿宋_GBK" w:hAnsi="仿宋" w:eastAsia="方正仿宋_GBK"/>
          <w:sz w:val="32"/>
          <w:szCs w:val="32"/>
        </w:rPr>
        <w:t>；</w:t>
      </w:r>
      <w:r>
        <w:rPr>
          <w:rFonts w:hint="eastAsia" w:ascii="方正仿宋_GBK" w:eastAsia="方正仿宋_GBK"/>
          <w:sz w:val="32"/>
          <w:szCs w:val="32"/>
        </w:rPr>
        <w:t>若在采购周期内采购数量</w:t>
      </w:r>
      <w:r>
        <w:rPr>
          <w:rFonts w:ascii="方正仿宋_GBK" w:eastAsia="方正仿宋_GBK"/>
          <w:sz w:val="32"/>
          <w:szCs w:val="32"/>
        </w:rPr>
        <w:t>超过合同数量</w:t>
      </w:r>
      <w:r>
        <w:rPr>
          <w:rFonts w:hint="eastAsia" w:ascii="方正仿宋_GBK" w:eastAsia="方正仿宋_GBK"/>
          <w:sz w:val="32"/>
          <w:szCs w:val="32"/>
        </w:rPr>
        <w:t>，则超过部分的采购价格仍按成交价执行。</w:t>
      </w:r>
    </w:p>
    <w:p>
      <w:pPr>
        <w:snapToGrid w:val="0"/>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w:t>
      </w:r>
      <w:r>
        <w:rPr>
          <w:rFonts w:ascii="方正黑体_GBK" w:hAnsi="黑体" w:eastAsia="方正黑体_GBK"/>
          <w:sz w:val="32"/>
          <w:szCs w:val="32"/>
        </w:rPr>
        <w:t>、</w:t>
      </w:r>
      <w:r>
        <w:rPr>
          <w:rFonts w:hint="eastAsia" w:ascii="方正黑体_GBK" w:hAnsi="黑体" w:eastAsia="方正黑体_GBK"/>
          <w:sz w:val="32"/>
          <w:szCs w:val="32"/>
        </w:rPr>
        <w:t>采购方式</w:t>
      </w:r>
    </w:p>
    <w:p>
      <w:pPr>
        <w:snapToGrid w:val="0"/>
        <w:spacing w:line="57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采用谈判的方式进行采购，确定入选品种及成交价格。</w:t>
      </w:r>
    </w:p>
    <w:p>
      <w:pPr>
        <w:snapToGrid w:val="0"/>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四、采购</w:t>
      </w:r>
      <w:r>
        <w:rPr>
          <w:rFonts w:ascii="方正黑体_GBK" w:hAnsi="黑体" w:eastAsia="方正黑体_GBK"/>
          <w:sz w:val="32"/>
          <w:szCs w:val="32"/>
        </w:rPr>
        <w:t>工作安排</w:t>
      </w:r>
    </w:p>
    <w:p>
      <w:pPr>
        <w:snapToGrid w:val="0"/>
        <w:spacing w:line="570" w:lineRule="exact"/>
        <w:ind w:firstLine="640" w:firstLineChars="200"/>
        <w:rPr>
          <w:rFonts w:ascii="方正楷体_GBK" w:hAnsi="仿宋_GB2312" w:eastAsia="方正楷体_GBK" w:cs="仿宋_GB2312"/>
          <w:b/>
          <w:bCs/>
          <w:kern w:val="0"/>
          <w:sz w:val="32"/>
          <w:szCs w:val="32"/>
          <w:highlight w:val="yellow"/>
        </w:rPr>
      </w:pPr>
      <w:r>
        <w:rPr>
          <w:rFonts w:hint="eastAsia" w:ascii="方正楷体_GBK" w:hAnsi="仿宋_GB2312" w:eastAsia="方正楷体_GBK" w:cs="仿宋_GB2312"/>
          <w:b/>
          <w:bCs/>
          <w:kern w:val="0"/>
          <w:sz w:val="32"/>
          <w:szCs w:val="32"/>
        </w:rPr>
        <w:t>（一）企业及产品申报时间</w:t>
      </w:r>
    </w:p>
    <w:p>
      <w:pPr>
        <w:snapToGrid w:val="0"/>
        <w:spacing w:line="57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申报时间 2019年4月28 日至2019年 5月6 日</w:t>
      </w:r>
    </w:p>
    <w:p>
      <w:pPr>
        <w:snapToGrid w:val="0"/>
        <w:spacing w:line="570" w:lineRule="exact"/>
        <w:ind w:firstLine="628" w:firstLineChars="196"/>
        <w:rPr>
          <w:rFonts w:ascii="方正楷体_GBK" w:hAnsi="仿宋_GB2312" w:eastAsia="方正楷体_GBK" w:cs="仿宋_GB2312"/>
          <w:b/>
          <w:bCs/>
          <w:kern w:val="0"/>
          <w:sz w:val="32"/>
          <w:szCs w:val="32"/>
        </w:rPr>
      </w:pPr>
      <w:r>
        <w:rPr>
          <w:rFonts w:hint="eastAsia" w:ascii="方正楷体_GBK" w:hAnsi="仿宋_GB2312" w:eastAsia="方正楷体_GBK" w:cs="仿宋_GB2312"/>
          <w:b/>
          <w:bCs/>
          <w:kern w:val="0"/>
          <w:sz w:val="32"/>
          <w:szCs w:val="32"/>
        </w:rPr>
        <w:t>（二）谈判</w:t>
      </w:r>
      <w:r>
        <w:rPr>
          <w:rFonts w:ascii="方正楷体_GBK" w:hAnsi="仿宋_GB2312" w:eastAsia="方正楷体_GBK" w:cs="仿宋_GB2312"/>
          <w:b/>
          <w:bCs/>
          <w:kern w:val="0"/>
          <w:sz w:val="32"/>
          <w:szCs w:val="32"/>
        </w:rPr>
        <w:t>时间</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以公告通知时间为准。</w:t>
      </w:r>
    </w:p>
    <w:p>
      <w:pPr>
        <w:snapToGrid w:val="0"/>
        <w:spacing w:line="570" w:lineRule="exact"/>
        <w:ind w:firstLine="640" w:firstLineChars="200"/>
        <w:rPr>
          <w:rFonts w:ascii="方正仿宋_GBK" w:hAnsi="黑体" w:eastAsia="方正仿宋_GBK"/>
          <w:sz w:val="32"/>
          <w:szCs w:val="32"/>
        </w:rPr>
      </w:pPr>
      <w:r>
        <w:rPr>
          <w:rFonts w:hint="eastAsia" w:ascii="方正楷体_GBK" w:hAnsi="仿宋_GB2312" w:eastAsia="方正楷体_GBK" w:cs="仿宋_GB2312"/>
          <w:b/>
          <w:bCs/>
          <w:kern w:val="0"/>
          <w:sz w:val="32"/>
          <w:szCs w:val="32"/>
        </w:rPr>
        <w:t xml:space="preserve">（三）合同签订时间 </w:t>
      </w:r>
    </w:p>
    <w:p>
      <w:pPr>
        <w:snapToGrid w:val="0"/>
        <w:spacing w:line="57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以公告通知时间为准。</w:t>
      </w:r>
    </w:p>
    <w:p>
      <w:pPr>
        <w:snapToGrid w:val="0"/>
        <w:spacing w:line="570" w:lineRule="exact"/>
        <w:ind w:firstLine="640" w:firstLineChars="200"/>
        <w:rPr>
          <w:rFonts w:ascii="方正仿宋_GBK" w:hAnsi="黑体" w:eastAsia="方正仿宋_GBK"/>
          <w:sz w:val="32"/>
          <w:szCs w:val="32"/>
        </w:rPr>
      </w:pPr>
      <w:r>
        <w:rPr>
          <w:rFonts w:hint="eastAsia" w:ascii="方正黑体_GBK" w:hAnsi="黑体" w:eastAsia="方正黑体_GBK"/>
          <w:sz w:val="32"/>
          <w:szCs w:val="32"/>
        </w:rPr>
        <w:t>五</w:t>
      </w:r>
      <w:r>
        <w:rPr>
          <w:rFonts w:ascii="方正黑体_GBK" w:hAnsi="黑体" w:eastAsia="方正黑体_GBK"/>
          <w:sz w:val="32"/>
          <w:szCs w:val="32"/>
        </w:rPr>
        <w:t>、</w:t>
      </w:r>
      <w:r>
        <w:rPr>
          <w:rFonts w:hint="eastAsia" w:ascii="方正黑体_GBK" w:hAnsi="黑体" w:eastAsia="方正黑体_GBK"/>
          <w:sz w:val="32"/>
          <w:szCs w:val="32"/>
        </w:rPr>
        <w:t>采购流程</w:t>
      </w:r>
    </w:p>
    <w:p>
      <w:pPr>
        <w:snapToGrid w:val="0"/>
        <w:spacing w:line="570" w:lineRule="exact"/>
        <w:ind w:firstLine="640" w:firstLineChars="200"/>
        <w:rPr>
          <w:rFonts w:ascii="方正仿宋_GBK" w:hAnsi="黑体" w:eastAsia="方正仿宋_GBK"/>
          <w:sz w:val="32"/>
          <w:szCs w:val="32"/>
        </w:rPr>
      </w:pPr>
      <w:r>
        <w:rPr>
          <w:rFonts w:hint="eastAsia" w:ascii="方正楷体_GBK" w:eastAsia="方正楷体_GBK"/>
          <w:b/>
          <w:sz w:val="32"/>
          <w:szCs w:val="32"/>
        </w:rPr>
        <w:t>（一）</w:t>
      </w:r>
      <w:r>
        <w:rPr>
          <w:rFonts w:hint="eastAsia" w:ascii="方正楷体_GBK" w:hAnsi="仿宋_GB2312" w:eastAsia="方正楷体_GBK" w:cs="仿宋_GB2312"/>
          <w:b/>
          <w:bCs/>
          <w:kern w:val="0"/>
          <w:sz w:val="32"/>
          <w:szCs w:val="32"/>
        </w:rPr>
        <w:t>发布采购公告</w:t>
      </w:r>
    </w:p>
    <w:p>
      <w:pPr>
        <w:snapToGrid w:val="0"/>
        <w:spacing w:line="570" w:lineRule="exact"/>
        <w:ind w:firstLine="800" w:firstLineChars="250"/>
        <w:rPr>
          <w:rFonts w:ascii="方正楷体_GBK" w:eastAsia="方正楷体_GBK"/>
          <w:sz w:val="32"/>
          <w:szCs w:val="32"/>
        </w:rPr>
      </w:pPr>
      <w:r>
        <w:rPr>
          <w:rFonts w:hint="eastAsia" w:ascii="方正仿宋_GBK" w:hAnsi="仿宋" w:eastAsia="方正仿宋_GBK"/>
          <w:sz w:val="32"/>
          <w:szCs w:val="32"/>
        </w:rPr>
        <w:t>重医口腔医院</w:t>
      </w:r>
      <w:r>
        <w:rPr>
          <w:rFonts w:hint="eastAsia" w:ascii="方正仿宋_GBK" w:hAnsi="仿宋_GB2312" w:eastAsia="方正仿宋_GBK" w:cs="仿宋_GB2312"/>
          <w:bCs/>
          <w:kern w:val="0"/>
          <w:sz w:val="32"/>
          <w:szCs w:val="32"/>
        </w:rPr>
        <w:t>在药品交易平台发布采购公告。</w:t>
      </w:r>
    </w:p>
    <w:p>
      <w:pPr>
        <w:snapToGrid w:val="0"/>
        <w:spacing w:line="570" w:lineRule="exact"/>
        <w:ind w:firstLine="640" w:firstLineChars="200"/>
        <w:rPr>
          <w:rFonts w:ascii="方正楷体_GBK" w:hAnsi="仿宋_GB2312" w:eastAsia="方正楷体_GBK" w:cs="仿宋_GB2312"/>
          <w:b/>
          <w:bCs/>
          <w:kern w:val="0"/>
          <w:sz w:val="32"/>
          <w:szCs w:val="32"/>
        </w:rPr>
      </w:pPr>
      <w:r>
        <w:rPr>
          <w:rFonts w:hint="eastAsia" w:ascii="方正楷体_GBK" w:hAnsi="仿宋_GB2312" w:eastAsia="方正楷体_GBK" w:cs="仿宋_GB2312"/>
          <w:b/>
          <w:bCs/>
          <w:kern w:val="0"/>
          <w:sz w:val="32"/>
          <w:szCs w:val="32"/>
        </w:rPr>
        <w:t>（二）企业</w:t>
      </w:r>
      <w:r>
        <w:rPr>
          <w:rFonts w:ascii="方正楷体_GBK" w:hAnsi="仿宋_GB2312" w:eastAsia="方正楷体_GBK" w:cs="仿宋_GB2312"/>
          <w:b/>
          <w:bCs/>
          <w:kern w:val="0"/>
          <w:sz w:val="32"/>
          <w:szCs w:val="32"/>
        </w:rPr>
        <w:t>及</w:t>
      </w:r>
      <w:r>
        <w:rPr>
          <w:rFonts w:hint="eastAsia" w:ascii="方正楷体_GBK" w:hAnsi="仿宋_GB2312" w:eastAsia="方正楷体_GBK" w:cs="仿宋_GB2312"/>
          <w:b/>
          <w:bCs/>
          <w:kern w:val="0"/>
          <w:sz w:val="32"/>
          <w:szCs w:val="32"/>
        </w:rPr>
        <w:t>产品申报</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1.申报条件</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申报企业的资质必须符合国家的相关规定，应取得相关授权和医疗产品的合格资质，且所有资质和申报材料需加盖公章。</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2.企业资质材料</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（1）申报企业为经营企业时需提供企业法人营业执照（正、副本）、医疗器械经营许可证（正、副本）、法定代表人授权书。</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 xml:space="preserve">（2）申报企业为生产企业时需提供企业法人营业执照（正、副本）、医疗器械生产许可证（正、副本）、法定代表人授权书。 </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 xml:space="preserve">3.产品资质材料  </w:t>
      </w:r>
    </w:p>
    <w:p>
      <w:pPr>
        <w:adjustRightInd w:val="0"/>
        <w:snapToGrid w:val="0"/>
        <w:spacing w:line="570" w:lineRule="exact"/>
        <w:ind w:firstLine="800" w:firstLineChars="250"/>
        <w:rPr>
          <w:rFonts w:ascii="方正仿宋_GBK" w:eastAsia="方正仿宋_GBK"/>
          <w:sz w:val="32"/>
          <w:szCs w:val="32"/>
        </w:rPr>
      </w:pPr>
      <w:r>
        <w:rPr>
          <w:rFonts w:hint="eastAsia" w:ascii="方正仿宋_GBK" w:eastAsia="方正仿宋_GBK"/>
          <w:sz w:val="32"/>
          <w:szCs w:val="32"/>
        </w:rPr>
        <w:t>（1）产品申报为经营企业的，需递交《供货企业承诺书》、申报产品注册证（含具体产品规格型号附件）复印件或第一类医疗器械备案凭证和备案信息表复印件、以及从截至申报之日起至少有3个月及以上效期的生产企业委托授权书复印件、产品说明书、产品合格证。</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2.产品申报为生产企业的，需递交《供货企业承诺书》、申报产品注册证（含具体产品规格型号附件）复印件或第一类医疗器械备案凭证和备案信息表复印件、产品说明书、产品合格证。</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产品申报企业在药交所递交上述纸质材料，并将申报产品具体规格型号进行标注。（地址：重庆市南岸区长生桥镇广福大道12号 南岸区政府行政中心B区3号楼 2楼）。</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3.资质审查</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 xml:space="preserve">药交所将在规定期限内进行资质审查，审查结果将通过药品交易平台发布：审查通过的，不得撤回申报；未通过的，申报企业可在规定时限内及时澄清并补充完善相关材料。 </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4.产品申报时限截止后，将不再受理和审查申报信息。</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5.资质审查咨询电话：（023-63831317）。</w:t>
      </w:r>
    </w:p>
    <w:p>
      <w:pPr>
        <w:adjustRightInd w:val="0"/>
        <w:snapToGrid w:val="0"/>
        <w:spacing w:line="570" w:lineRule="exact"/>
        <w:ind w:firstLine="640" w:firstLineChars="200"/>
        <w:rPr>
          <w:rFonts w:ascii="方正楷体_GBK" w:eastAsia="方正楷体_GBK"/>
          <w:b/>
          <w:sz w:val="32"/>
          <w:szCs w:val="32"/>
        </w:rPr>
      </w:pPr>
      <w:r>
        <w:rPr>
          <w:rFonts w:hint="eastAsia" w:ascii="方正楷体_GBK" w:eastAsia="方正楷体_GBK"/>
          <w:b/>
          <w:sz w:val="32"/>
          <w:szCs w:val="32"/>
        </w:rPr>
        <w:t>（三）缴纳申报保证金</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通过产品资质审查的企业，在报价截止前3天，从其基本账户将申报保证金汇至以下账户。</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申报保证金缴纳账户：</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 xml:space="preserve">户  名：重庆药品交易所股份有限公司   </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开户行：重庆银行解放碑支行</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账  号：060101040016092</w:t>
      </w:r>
      <w:r>
        <w:rPr>
          <w:rFonts w:ascii="方正仿宋_GBK" w:eastAsia="方正仿宋_GBK"/>
          <w:sz w:val="32"/>
          <w:szCs w:val="32"/>
        </w:rPr>
        <w:t xml:space="preserve">   </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1.缴纳申报保证金方式</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按《重庆市财政局关于进一步规范投标报名及保证金缴纳的通知》（渝财采购﹝2013﹞30号）文的规定，单次递交申报保证金。具体缴纳情况详见附件2。</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2.申报保证金退还和</w:t>
      </w:r>
      <w:r>
        <w:rPr>
          <w:rFonts w:ascii="方正仿宋_GBK" w:eastAsia="方正仿宋_GBK"/>
          <w:sz w:val="32"/>
          <w:szCs w:val="32"/>
        </w:rPr>
        <w:t>处理</w:t>
      </w:r>
      <w:r>
        <w:rPr>
          <w:rFonts w:hint="eastAsia" w:ascii="方正仿宋_GBK" w:eastAsia="方正仿宋_GBK"/>
          <w:sz w:val="32"/>
          <w:szCs w:val="32"/>
        </w:rPr>
        <w:t>方式</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申报企业未入选，保证金将在五个工作日内按来款渠道直接退还。入选企业与采购人签订合同后，在五个工作日内按资金来款渠道直接退还。产品入选后企业在规定时间拒绝签订采购合同的，两年内不得参与重医口腔医院医用耗材采购项目。</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保证金咨询电话：（023</w:t>
      </w:r>
      <w:r>
        <w:rPr>
          <w:rFonts w:ascii="方正仿宋_GBK" w:eastAsia="方正仿宋_GBK"/>
          <w:sz w:val="32"/>
          <w:szCs w:val="32"/>
        </w:rPr>
        <w:t>-</w:t>
      </w:r>
      <w:r>
        <w:t xml:space="preserve"> </w:t>
      </w:r>
      <w:r>
        <w:rPr>
          <w:rFonts w:ascii="方正仿宋_GBK" w:eastAsia="方正仿宋_GBK"/>
          <w:sz w:val="32"/>
          <w:szCs w:val="32"/>
        </w:rPr>
        <w:t>62913073</w:t>
      </w:r>
      <w:r>
        <w:rPr>
          <w:rFonts w:hint="eastAsia" w:ascii="方正仿宋_GBK" w:eastAsia="方正仿宋_GBK"/>
          <w:sz w:val="32"/>
          <w:szCs w:val="32"/>
        </w:rPr>
        <w:t>）</w:t>
      </w:r>
    </w:p>
    <w:p>
      <w:pPr>
        <w:snapToGrid w:val="0"/>
        <w:spacing w:line="570" w:lineRule="exact"/>
        <w:ind w:firstLine="628" w:firstLineChars="196"/>
        <w:rPr>
          <w:rFonts w:ascii="方正仿宋_GBK" w:hAnsi="黑体" w:eastAsia="方正仿宋_GBK"/>
          <w:b/>
          <w:sz w:val="32"/>
          <w:szCs w:val="32"/>
        </w:rPr>
      </w:pPr>
      <w:r>
        <w:rPr>
          <w:rFonts w:hint="eastAsia" w:ascii="方正仿宋_GBK" w:hAnsi="黑体" w:eastAsia="方正仿宋_GBK"/>
          <w:b/>
          <w:sz w:val="32"/>
          <w:szCs w:val="32"/>
        </w:rPr>
        <w:t>（四）组织报价</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1.报价要求</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①申报企业可参与采购目录中一个或多个产品报价。</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②报价不得高于</w:t>
      </w:r>
      <w:r>
        <w:rPr>
          <w:rFonts w:hint="eastAsia" w:ascii="方正仿宋_GBK" w:hAnsi="仿宋" w:eastAsia="方正仿宋_GBK"/>
          <w:sz w:val="32"/>
          <w:szCs w:val="32"/>
        </w:rPr>
        <w:t>重医口腔医院</w:t>
      </w:r>
      <w:r>
        <w:rPr>
          <w:rFonts w:hint="eastAsia" w:ascii="方正仿宋_GBK" w:eastAsia="方正仿宋_GBK"/>
          <w:sz w:val="32"/>
          <w:szCs w:val="32"/>
        </w:rPr>
        <w:t>规定的限价，具体限价于产品资料审核结束后另行通知</w:t>
      </w:r>
      <w:r>
        <w:rPr>
          <w:rFonts w:ascii="方正仿宋_GBK" w:eastAsia="方正仿宋_GBK"/>
          <w:sz w:val="32"/>
          <w:szCs w:val="32"/>
        </w:rPr>
        <w:t>。</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③报价应为包括所有税费和配送费在内的实际供应价。</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④申报企业按报价单位要求进行报价。</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⑤报价货币为人民币（单位：元），保留到小数点后2位，未在规定时间内完成报价或报价为零的，视为放弃报价。</w:t>
      </w:r>
    </w:p>
    <w:p>
      <w:pPr>
        <w:spacing w:line="570" w:lineRule="exact"/>
        <w:ind w:firstLine="640" w:firstLineChars="200"/>
        <w:rPr>
          <w:rFonts w:ascii="方正楷体_GBK" w:eastAsia="方正楷体_GBK"/>
          <w:b/>
          <w:sz w:val="32"/>
          <w:szCs w:val="32"/>
        </w:rPr>
      </w:pPr>
      <w:r>
        <w:rPr>
          <w:rFonts w:hint="eastAsia" w:ascii="方正楷体_GBK" w:eastAsia="方正楷体_GBK"/>
          <w:b/>
          <w:sz w:val="32"/>
          <w:szCs w:val="32"/>
        </w:rPr>
        <w:t xml:space="preserve">（五）价格谈判 </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通过面对面谈判确定入选产品。</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1.评审</w:t>
      </w:r>
      <w:r>
        <w:rPr>
          <w:rFonts w:ascii="方正仿宋_GBK" w:eastAsia="方正仿宋_GBK"/>
          <w:sz w:val="32"/>
          <w:szCs w:val="32"/>
        </w:rPr>
        <w:t>专家</w:t>
      </w:r>
      <w:r>
        <w:rPr>
          <w:rFonts w:hint="eastAsia" w:ascii="方正仿宋_GBK" w:eastAsia="方正仿宋_GBK"/>
          <w:sz w:val="32"/>
          <w:szCs w:val="32"/>
        </w:rPr>
        <w:t>的产生。由相关领域专业人员组成评审专家组，每个专家组由5</w:t>
      </w:r>
      <w:r>
        <w:rPr>
          <w:rFonts w:ascii="方正仿宋_GBK" w:eastAsia="方正仿宋_GBK"/>
          <w:sz w:val="32"/>
          <w:szCs w:val="32"/>
        </w:rPr>
        <w:t>名专家组成</w:t>
      </w:r>
      <w:r>
        <w:rPr>
          <w:rFonts w:hint="eastAsia" w:ascii="方正仿宋_GBK" w:eastAsia="方正仿宋_GBK"/>
          <w:sz w:val="32"/>
          <w:szCs w:val="32"/>
        </w:rPr>
        <w:t>。</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2.谈判</w:t>
      </w:r>
      <w:r>
        <w:rPr>
          <w:rFonts w:ascii="方正仿宋_GBK" w:eastAsia="方正仿宋_GBK"/>
          <w:sz w:val="32"/>
          <w:szCs w:val="32"/>
        </w:rPr>
        <w:t>规则。</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评审</w:t>
      </w:r>
      <w:r>
        <w:rPr>
          <w:rFonts w:ascii="方正仿宋_GBK" w:eastAsia="方正仿宋_GBK"/>
          <w:sz w:val="32"/>
          <w:szCs w:val="32"/>
        </w:rPr>
        <w:t>专家与</w:t>
      </w:r>
      <w:r>
        <w:rPr>
          <w:rFonts w:hint="eastAsia" w:ascii="方正仿宋_GBK" w:eastAsia="方正仿宋_GBK"/>
          <w:sz w:val="32"/>
          <w:szCs w:val="32"/>
        </w:rPr>
        <w:t>申报</w:t>
      </w:r>
      <w:r>
        <w:rPr>
          <w:rFonts w:ascii="方正仿宋_GBK" w:eastAsia="方正仿宋_GBK"/>
          <w:sz w:val="32"/>
          <w:szCs w:val="32"/>
        </w:rPr>
        <w:t>企业进行</w:t>
      </w:r>
      <w:r>
        <w:rPr>
          <w:rFonts w:hint="eastAsia" w:ascii="方正仿宋_GBK" w:eastAsia="方正仿宋_GBK"/>
          <w:sz w:val="32"/>
          <w:szCs w:val="32"/>
        </w:rPr>
        <w:t>面对面谈判。</w:t>
      </w:r>
      <w:r>
        <w:rPr>
          <w:rFonts w:ascii="方正仿宋_GBK" w:eastAsia="方正仿宋_GBK"/>
          <w:sz w:val="32"/>
          <w:szCs w:val="32"/>
        </w:rPr>
        <w:t>先由</w:t>
      </w:r>
      <w:r>
        <w:rPr>
          <w:rFonts w:hint="eastAsia" w:ascii="方正仿宋_GBK" w:eastAsia="方正仿宋_GBK"/>
          <w:sz w:val="32"/>
          <w:szCs w:val="32"/>
        </w:rPr>
        <w:t>申报</w:t>
      </w:r>
      <w:r>
        <w:rPr>
          <w:rFonts w:ascii="方正仿宋_GBK" w:eastAsia="方正仿宋_GBK"/>
          <w:sz w:val="32"/>
          <w:szCs w:val="32"/>
        </w:rPr>
        <w:t>企业给出</w:t>
      </w:r>
      <w:r>
        <w:rPr>
          <w:rFonts w:hint="eastAsia" w:ascii="方正仿宋_GBK" w:eastAsia="方正仿宋_GBK"/>
          <w:sz w:val="32"/>
          <w:szCs w:val="32"/>
        </w:rPr>
        <w:t>初始</w:t>
      </w:r>
      <w:r>
        <w:rPr>
          <w:rFonts w:ascii="方正仿宋_GBK" w:eastAsia="方正仿宋_GBK"/>
          <w:sz w:val="32"/>
          <w:szCs w:val="32"/>
        </w:rPr>
        <w:t>报价</w:t>
      </w:r>
      <w:r>
        <w:rPr>
          <w:rFonts w:hint="eastAsia" w:ascii="方正仿宋_GBK" w:eastAsia="方正仿宋_GBK"/>
          <w:sz w:val="32"/>
          <w:szCs w:val="32"/>
        </w:rPr>
        <w:t>，专家根据企业报价、临床使用情况及市场价格等信息对产品进行综合分析，与申报企业进行沟通后给出建议价。申报企业根据专家给出的建议价再进行报价，低于建议价的产品为拟入选产品，其申报企业为拟入选企业；高于建议价的产品，专家对其价格进行重新分析，给出新的建议价，申报企业根据专家给出的新建议价进行最终报价，低于专家建议价的产品为拟入选产品，其申报企业为拟入选企业；企业每一次报价不得高于上一次报价。若企业给出的报价均高于专家建议价，则由专家进行投票，确定是否选择该产品为入选产品；当同一产品有多个拟入选企业时，</w:t>
      </w:r>
      <w:r>
        <w:rPr>
          <w:rFonts w:ascii="方正仿宋_GBK" w:eastAsia="方正仿宋_GBK"/>
          <w:sz w:val="32"/>
          <w:szCs w:val="32"/>
        </w:rPr>
        <w:t>由专家</w:t>
      </w:r>
      <w:r>
        <w:rPr>
          <w:rFonts w:hint="eastAsia" w:ascii="方正仿宋_GBK" w:eastAsia="方正仿宋_GBK"/>
          <w:sz w:val="32"/>
          <w:szCs w:val="32"/>
        </w:rPr>
        <w:t>对拟入选企业进行</w:t>
      </w:r>
      <w:r>
        <w:rPr>
          <w:rFonts w:ascii="方正仿宋_GBK" w:eastAsia="方正仿宋_GBK"/>
          <w:sz w:val="32"/>
          <w:szCs w:val="32"/>
        </w:rPr>
        <w:t>投票，</w:t>
      </w:r>
      <w:r>
        <w:rPr>
          <w:rFonts w:hint="eastAsia" w:ascii="方正仿宋_GBK" w:eastAsia="方正仿宋_GBK"/>
          <w:sz w:val="32"/>
          <w:szCs w:val="32"/>
        </w:rPr>
        <w:t>最终确定一家申报企业为入选企业，其对应的拟入选产品为入选产品</w:t>
      </w:r>
      <w:r>
        <w:rPr>
          <w:rFonts w:ascii="方正仿宋_GBK" w:eastAsia="方正仿宋_GBK"/>
          <w:sz w:val="32"/>
          <w:szCs w:val="32"/>
        </w:rPr>
        <w:t>。</w:t>
      </w:r>
      <w:r>
        <w:rPr>
          <w:rFonts w:hint="eastAsia" w:ascii="方正仿宋_GBK" w:eastAsia="方正仿宋_GBK"/>
          <w:sz w:val="32"/>
          <w:szCs w:val="32"/>
        </w:rPr>
        <w:t>谈判全过程邀请相关监察部门进行现场监督。</w:t>
      </w:r>
    </w:p>
    <w:p>
      <w:pPr>
        <w:spacing w:line="570" w:lineRule="exact"/>
        <w:ind w:firstLine="628" w:firstLineChars="196"/>
        <w:rPr>
          <w:rFonts w:ascii="方正楷体_GBK" w:eastAsia="方正楷体_GBK"/>
          <w:b/>
          <w:sz w:val="32"/>
          <w:szCs w:val="32"/>
        </w:rPr>
      </w:pPr>
      <w:r>
        <w:rPr>
          <w:rFonts w:hint="eastAsia" w:ascii="方正楷体_GBK" w:eastAsia="方正楷体_GBK"/>
          <w:b/>
          <w:sz w:val="32"/>
          <w:szCs w:val="32"/>
        </w:rPr>
        <w:t>（七）结果处理</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1.结果公布</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本次产品采购的结果，通过药品交易平台进行公示，</w:t>
      </w:r>
      <w:r>
        <w:rPr>
          <w:rFonts w:hint="eastAsia" w:ascii="方正仿宋_GBK" w:hAnsi="仿宋" w:eastAsia="方正仿宋_GBK"/>
          <w:sz w:val="32"/>
          <w:szCs w:val="32"/>
        </w:rPr>
        <w:t>公示期为7天，公示期内接受各方澄清及实名制申投诉。需递交澄清及申投诉人员身份证复印件和加盖企业公章的对应纸质资料。</w:t>
      </w:r>
    </w:p>
    <w:p>
      <w:pPr>
        <w:snapToGrid w:val="0"/>
        <w:spacing w:line="57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2.特殊</w:t>
      </w:r>
      <w:r>
        <w:rPr>
          <w:rFonts w:ascii="方正仿宋_GBK" w:hAnsi="仿宋" w:eastAsia="方正仿宋_GBK"/>
          <w:sz w:val="32"/>
          <w:szCs w:val="32"/>
        </w:rPr>
        <w:t>情况处理</w:t>
      </w:r>
    </w:p>
    <w:p>
      <w:pPr>
        <w:snapToGrid w:val="0"/>
        <w:spacing w:line="570" w:lineRule="exact"/>
        <w:ind w:firstLine="640" w:firstLineChars="200"/>
        <w:rPr>
          <w:rFonts w:ascii="方正仿宋_GBK" w:eastAsia="方正仿宋_GBK"/>
          <w:sz w:val="32"/>
          <w:szCs w:val="32"/>
        </w:rPr>
      </w:pPr>
      <w:r>
        <w:rPr>
          <w:rFonts w:hint="eastAsia" w:ascii="方正仿宋_GBK" w:hAnsi="仿宋" w:eastAsia="方正仿宋_GBK"/>
          <w:sz w:val="32"/>
          <w:szCs w:val="32"/>
        </w:rPr>
        <w:t>当不可抗拒的原因造成入选产品不能满足供应或被取消交易资格的，采购人保留重新采购的权利</w:t>
      </w:r>
      <w:r>
        <w:rPr>
          <w:rFonts w:hint="eastAsia" w:ascii="方正仿宋_GBK" w:eastAsia="方正仿宋_GBK"/>
          <w:sz w:val="32"/>
          <w:szCs w:val="32"/>
        </w:rPr>
        <w:t>。</w:t>
      </w:r>
    </w:p>
    <w:p>
      <w:pPr>
        <w:snapToGrid w:val="0"/>
        <w:spacing w:line="570" w:lineRule="exact"/>
        <w:ind w:firstLine="640" w:firstLineChars="200"/>
        <w:rPr>
          <w:rFonts w:ascii="方正黑体_GBK" w:eastAsia="方正黑体_GBK"/>
          <w:sz w:val="32"/>
          <w:szCs w:val="32"/>
        </w:rPr>
      </w:pPr>
      <w:r>
        <w:rPr>
          <w:rFonts w:hint="eastAsia" w:ascii="方正黑体_GBK" w:eastAsia="方正黑体_GBK"/>
          <w:sz w:val="32"/>
          <w:szCs w:val="32"/>
        </w:rPr>
        <w:t>六、合同签订</w:t>
      </w:r>
    </w:p>
    <w:p>
      <w:pPr>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入选产品确定后，重医口腔医院在规定的时限内，与供货企业签订交易合同。</w:t>
      </w:r>
    </w:p>
    <w:p>
      <w:pPr>
        <w:snapToGrid w:val="0"/>
        <w:spacing w:line="570" w:lineRule="exact"/>
        <w:ind w:firstLine="640" w:firstLineChars="200"/>
        <w:rPr>
          <w:rFonts w:ascii="方正黑体_GBK" w:eastAsia="方正黑体_GBK"/>
          <w:sz w:val="32"/>
          <w:szCs w:val="32"/>
        </w:rPr>
      </w:pPr>
      <w:r>
        <w:rPr>
          <w:rFonts w:hint="eastAsia" w:ascii="方正黑体_GBK" w:eastAsia="方正黑体_GBK"/>
          <w:sz w:val="32"/>
          <w:szCs w:val="32"/>
        </w:rPr>
        <w:t xml:space="preserve">七、产品供应保障 </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供货企业要对产品的质量和供应负责</w:t>
      </w:r>
      <w:r>
        <w:rPr>
          <w:rFonts w:ascii="方正仿宋_GBK" w:eastAsia="方正仿宋_GBK"/>
          <w:sz w:val="32"/>
          <w:szCs w:val="32"/>
        </w:rPr>
        <w:t>。</w:t>
      </w:r>
    </w:p>
    <w:p>
      <w:pPr>
        <w:snapToGrid w:val="0"/>
        <w:spacing w:line="570" w:lineRule="exact"/>
        <w:ind w:firstLine="640" w:firstLineChars="200"/>
        <w:rPr>
          <w:rFonts w:ascii="方正黑体_GBK" w:eastAsia="方正黑体_GBK"/>
          <w:sz w:val="32"/>
          <w:szCs w:val="32"/>
        </w:rPr>
      </w:pPr>
      <w:r>
        <w:rPr>
          <w:rFonts w:hint="eastAsia" w:ascii="方正黑体_GBK" w:eastAsia="方正黑体_GBK"/>
          <w:sz w:val="32"/>
          <w:szCs w:val="32"/>
        </w:rPr>
        <w:t>八、货款结算</w:t>
      </w:r>
    </w:p>
    <w:p>
      <w:pPr>
        <w:adjustRightInd w:val="0"/>
        <w:snapToGrid w:val="0"/>
        <w:spacing w:line="570" w:lineRule="exact"/>
        <w:ind w:firstLine="640" w:firstLineChars="200"/>
        <w:rPr>
          <w:rFonts w:ascii="方正仿宋_GBK" w:eastAsia="方正仿宋_GBK"/>
          <w:sz w:val="32"/>
          <w:szCs w:val="32"/>
        </w:rPr>
      </w:pPr>
      <w:r>
        <w:rPr>
          <w:rFonts w:hint="eastAsia" w:ascii="方正仿宋_GBK" w:eastAsia="方正仿宋_GBK"/>
          <w:sz w:val="32"/>
          <w:szCs w:val="32"/>
        </w:rPr>
        <w:t>重医口腔医院根据合同要求完成货款结算和支付。</w:t>
      </w:r>
    </w:p>
    <w:p>
      <w:pPr>
        <w:adjustRightInd w:val="0"/>
        <w:snapToGrid w:val="0"/>
        <w:spacing w:line="570" w:lineRule="exact"/>
        <w:ind w:firstLine="640" w:firstLineChars="200"/>
        <w:rPr>
          <w:rFonts w:ascii="方正仿宋_GBK" w:eastAsia="方正仿宋_GBK"/>
          <w:sz w:val="32"/>
          <w:szCs w:val="32"/>
        </w:rPr>
      </w:pPr>
      <w:r>
        <w:rPr>
          <w:rFonts w:hint="eastAsia" w:ascii="方正黑体_GBK" w:eastAsia="方正黑体_GBK"/>
          <w:sz w:val="32"/>
          <w:szCs w:val="32"/>
        </w:rPr>
        <w:t xml:space="preserve">九、售后服务 </w:t>
      </w:r>
      <w:r>
        <w:rPr>
          <w:rFonts w:hint="eastAsia" w:ascii="方正黑体_GBK" w:eastAsia="方正黑体_GBK"/>
          <w:sz w:val="32"/>
          <w:szCs w:val="32"/>
        </w:rPr>
        <w:br w:type="textWrapping"/>
      </w:r>
      <w:r>
        <w:rPr>
          <w:rFonts w:hint="eastAsia" w:ascii="方正仿宋_GBK" w:eastAsia="方正仿宋_GBK"/>
          <w:sz w:val="32"/>
          <w:szCs w:val="32"/>
        </w:rPr>
        <w:t xml:space="preserve">      供货企业应当为采购人提供以下技术支持和服务： </w:t>
      </w:r>
      <w:r>
        <w:rPr>
          <w:rFonts w:hint="eastAsia" w:ascii="方正仿宋_GBK" w:eastAsia="方正仿宋_GBK"/>
          <w:sz w:val="32"/>
          <w:szCs w:val="32"/>
        </w:rPr>
        <w:br w:type="textWrapping"/>
      </w:r>
      <w:r>
        <w:rPr>
          <w:rFonts w:hint="eastAsia" w:ascii="方正仿宋_GBK" w:eastAsia="方正仿宋_GBK"/>
          <w:sz w:val="32"/>
          <w:szCs w:val="32"/>
        </w:rPr>
        <w:t xml:space="preserve">    </w:t>
      </w:r>
      <w:r>
        <w:rPr>
          <w:rFonts w:hint="eastAsia" w:ascii="方正楷体_GBK" w:eastAsia="方正楷体_GBK"/>
          <w:b/>
          <w:sz w:val="32"/>
          <w:szCs w:val="32"/>
        </w:rPr>
        <w:t xml:space="preserve">（一）电话咨询 </w:t>
      </w:r>
      <w:r>
        <w:rPr>
          <w:rFonts w:hint="eastAsia" w:ascii="方正仿宋_GBK" w:eastAsia="方正仿宋_GBK"/>
          <w:sz w:val="32"/>
          <w:szCs w:val="32"/>
        </w:rPr>
        <w:br w:type="textWrapping"/>
      </w:r>
      <w:r>
        <w:rPr>
          <w:rFonts w:hint="eastAsia" w:ascii="方正仿宋_GBK" w:eastAsia="方正仿宋_GBK"/>
          <w:sz w:val="32"/>
          <w:szCs w:val="32"/>
        </w:rPr>
        <w:t xml:space="preserve">   供货企业应当为采购人提供技术援助电话，解答采购人在使用中遇到的问题，及时为采购人提出解决问题的建议。 </w:t>
      </w:r>
      <w:r>
        <w:rPr>
          <w:rFonts w:hint="eastAsia" w:ascii="方正仿宋_GBK" w:eastAsia="方正仿宋_GBK"/>
          <w:sz w:val="32"/>
          <w:szCs w:val="32"/>
        </w:rPr>
        <w:br w:type="textWrapping"/>
      </w:r>
      <w:r>
        <w:rPr>
          <w:rFonts w:hint="eastAsia" w:ascii="方正仿宋_GBK" w:eastAsia="方正仿宋_GBK"/>
          <w:sz w:val="32"/>
          <w:szCs w:val="32"/>
        </w:rPr>
        <w:t xml:space="preserve">    </w:t>
      </w:r>
      <w:r>
        <w:rPr>
          <w:rFonts w:hint="eastAsia" w:ascii="方正楷体_GBK" w:eastAsia="方正楷体_GBK"/>
          <w:b/>
          <w:sz w:val="32"/>
          <w:szCs w:val="32"/>
        </w:rPr>
        <w:t xml:space="preserve">（二）现场响应 </w:t>
      </w:r>
      <w:r>
        <w:rPr>
          <w:rFonts w:hint="eastAsia" w:ascii="方正楷体_GBK" w:eastAsia="方正楷体_GBK"/>
          <w:b/>
          <w:sz w:val="32"/>
          <w:szCs w:val="32"/>
        </w:rPr>
        <w:br w:type="textWrapping"/>
      </w:r>
      <w:r>
        <w:rPr>
          <w:rFonts w:hint="eastAsia" w:ascii="方正仿宋_GBK" w:eastAsia="方正仿宋_GBK"/>
          <w:sz w:val="32"/>
          <w:szCs w:val="32"/>
        </w:rPr>
        <w:t xml:space="preserve">    采购人遇到产品使用、技术等问题，电话咨询不能解决的，供货企业应在8小内到达现场进行处理，确保产品正常工作；无法解决的应更换新产品，使采购人能够正常使用。 </w:t>
      </w:r>
      <w:r>
        <w:rPr>
          <w:rFonts w:hint="eastAsia" w:ascii="方正仿宋_GBK" w:eastAsia="方正仿宋_GBK"/>
          <w:sz w:val="32"/>
          <w:szCs w:val="32"/>
        </w:rPr>
        <w:br w:type="textWrapping"/>
      </w:r>
      <w:r>
        <w:rPr>
          <w:rFonts w:hint="eastAsia" w:ascii="方正仿宋_GBK" w:eastAsia="方正仿宋_GBK"/>
          <w:sz w:val="32"/>
          <w:szCs w:val="32"/>
        </w:rPr>
        <w:t xml:space="preserve">    </w:t>
      </w:r>
      <w:r>
        <w:rPr>
          <w:rFonts w:hint="eastAsia" w:ascii="方正楷体_GBK" w:eastAsia="方正楷体_GBK"/>
          <w:b/>
          <w:sz w:val="32"/>
          <w:szCs w:val="32"/>
        </w:rPr>
        <w:t xml:space="preserve">（三）培训 </w:t>
      </w:r>
      <w:r>
        <w:rPr>
          <w:rFonts w:hint="eastAsia" w:ascii="方正楷体_GBK" w:eastAsia="方正楷体_GBK"/>
          <w:b/>
          <w:sz w:val="32"/>
          <w:szCs w:val="32"/>
        </w:rPr>
        <w:br w:type="textWrapping"/>
      </w:r>
      <w:r>
        <w:rPr>
          <w:rFonts w:hint="eastAsia" w:ascii="方正仿宋_GBK" w:eastAsia="方正仿宋_GBK"/>
          <w:sz w:val="32"/>
          <w:szCs w:val="32"/>
        </w:rPr>
        <w:t xml:space="preserve">   供货企业对其提供产品的使用和操作应尽培训义务。供货企业应提供对采购人的基本免费培训，使采购人使用人员能够正常操作。 </w:t>
      </w:r>
      <w:r>
        <w:rPr>
          <w:rFonts w:hint="eastAsia" w:ascii="方正仿宋_GBK" w:eastAsia="方正仿宋_GBK"/>
          <w:sz w:val="32"/>
          <w:szCs w:val="32"/>
        </w:rPr>
        <w:br w:type="textWrapping"/>
      </w:r>
      <w:r>
        <w:rPr>
          <w:rFonts w:hint="eastAsia" w:ascii="方正仿宋_GBK" w:eastAsia="方正仿宋_GBK"/>
          <w:sz w:val="32"/>
          <w:szCs w:val="32"/>
        </w:rPr>
        <w:t xml:space="preserve">    </w:t>
      </w:r>
      <w:r>
        <w:rPr>
          <w:rFonts w:hint="eastAsia" w:ascii="方正楷体_GBK" w:eastAsia="方正楷体_GBK"/>
          <w:b/>
          <w:sz w:val="32"/>
          <w:szCs w:val="32"/>
        </w:rPr>
        <w:t xml:space="preserve">（四）其它 </w:t>
      </w:r>
      <w:r>
        <w:rPr>
          <w:rFonts w:hint="eastAsia" w:ascii="方正楷体_GBK" w:eastAsia="方正楷体_GBK"/>
          <w:b/>
          <w:sz w:val="32"/>
          <w:szCs w:val="32"/>
        </w:rPr>
        <w:br w:type="textWrapping"/>
      </w:r>
      <w:r>
        <w:rPr>
          <w:rFonts w:hint="eastAsia" w:ascii="方正仿宋_GBK" w:eastAsia="方正仿宋_GBK"/>
          <w:sz w:val="32"/>
          <w:szCs w:val="32"/>
        </w:rPr>
        <w:t>     产品在使用中的检验、更换、维修等工作由供货企业负责，并向采购方提供更换产品产品合格证、检验报告等纸质材料。如因产品质量问题引发的安全责任由供方负责。</w:t>
      </w:r>
    </w:p>
    <w:p>
      <w:pPr>
        <w:adjustRightInd w:val="0"/>
        <w:snapToGrid w:val="0"/>
        <w:spacing w:line="570" w:lineRule="exact"/>
        <w:ind w:firstLine="640" w:firstLineChars="200"/>
        <w:rPr>
          <w:rFonts w:ascii="Times New Roman" w:hAnsi="Times New Roman" w:eastAsia="方正仿宋_GBK"/>
          <w:snapToGrid w:val="0"/>
          <w:color w:val="000000"/>
          <w:kern w:val="0"/>
          <w:sz w:val="32"/>
          <w:szCs w:val="32"/>
        </w:rPr>
      </w:pPr>
    </w:p>
    <w:p>
      <w:pPr>
        <w:adjustRightInd w:val="0"/>
        <w:snapToGrid w:val="0"/>
        <w:spacing w:line="57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1.医用耗材采购目录</w:t>
      </w:r>
    </w:p>
    <w:p>
      <w:pPr>
        <w:adjustRightInd w:val="0"/>
        <w:snapToGrid w:val="0"/>
        <w:spacing w:line="57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      2.产品申报保证金详表</w:t>
      </w:r>
    </w:p>
    <w:p>
      <w:pPr>
        <w:adjustRightInd w:val="0"/>
        <w:snapToGrid w:val="0"/>
        <w:spacing w:line="570" w:lineRule="exact"/>
        <w:ind w:firstLine="1600" w:firstLineChars="500"/>
        <w:rPr>
          <w:rFonts w:ascii="方正仿宋_GBK" w:eastAsia="方正仿宋_GBK"/>
          <w:sz w:val="32"/>
          <w:szCs w:val="32"/>
        </w:rPr>
      </w:pPr>
      <w:r>
        <w:rPr>
          <w:rFonts w:hint="eastAsia" w:ascii="Times New Roman" w:hAnsi="Times New Roman" w:eastAsia="方正仿宋_GBK"/>
          <w:snapToGrid w:val="0"/>
          <w:color w:val="000000"/>
          <w:kern w:val="0"/>
          <w:sz w:val="32"/>
          <w:szCs w:val="32"/>
        </w:rPr>
        <w:t>3.医用耗材带量采购项目法定代表人授权书</w:t>
      </w:r>
    </w:p>
    <w:p>
      <w:pPr>
        <w:adjustRightInd w:val="0"/>
        <w:snapToGrid w:val="0"/>
        <w:spacing w:line="570" w:lineRule="exact"/>
        <w:ind w:firstLine="1600" w:firstLineChars="500"/>
        <w:rPr>
          <w:rFonts w:ascii="方正仿宋_GBK" w:eastAsia="方正仿宋_GBK"/>
          <w:sz w:val="32"/>
          <w:szCs w:val="32"/>
        </w:rPr>
      </w:pPr>
      <w:r>
        <w:rPr>
          <w:rFonts w:hint="eastAsia" w:ascii="方正仿宋_GBK" w:eastAsia="方正仿宋_GBK"/>
          <w:sz w:val="32"/>
          <w:szCs w:val="32"/>
        </w:rPr>
        <w:t>4.</w:t>
      </w:r>
      <w:r>
        <w:rPr>
          <w:rFonts w:hint="eastAsia" w:ascii="Times New Roman" w:hAnsi="Times New Roman" w:eastAsia="方正仿宋_GBK"/>
          <w:snapToGrid w:val="0"/>
          <w:color w:val="000000"/>
          <w:kern w:val="0"/>
          <w:sz w:val="32"/>
          <w:szCs w:val="32"/>
        </w:rPr>
        <w:t>供货企业承诺书</w:t>
      </w:r>
    </w:p>
    <w:p>
      <w:pPr>
        <w:adjustRightInd w:val="0"/>
        <w:snapToGrid w:val="0"/>
        <w:spacing w:line="570" w:lineRule="exact"/>
        <w:ind w:firstLine="1600" w:firstLineChars="500"/>
        <w:rPr>
          <w:rFonts w:ascii="Times New Roman" w:hAnsi="Times New Roman" w:eastAsia="方正仿宋_GBK"/>
          <w:snapToGrid w:val="0"/>
          <w:color w:val="000000"/>
          <w:kern w:val="0"/>
          <w:sz w:val="32"/>
          <w:szCs w:val="32"/>
        </w:rPr>
      </w:pPr>
      <w:r>
        <w:rPr>
          <w:rFonts w:hint="eastAsia" w:ascii="方正仿宋_GBK" w:eastAsia="方正仿宋_GBK"/>
          <w:sz w:val="32"/>
          <w:szCs w:val="32"/>
        </w:rPr>
        <w:t>5.</w:t>
      </w:r>
      <w:r>
        <w:rPr>
          <w:rFonts w:hint="eastAsia" w:ascii="Times New Roman" w:hAnsi="Times New Roman" w:eastAsia="方正仿宋_GBK"/>
          <w:snapToGrid w:val="0"/>
          <w:color w:val="000000"/>
          <w:kern w:val="0"/>
          <w:sz w:val="32"/>
          <w:szCs w:val="32"/>
        </w:rPr>
        <w:t>采购流程图</w:t>
      </w:r>
    </w:p>
    <w:p>
      <w:pPr>
        <w:rPr>
          <w:rFonts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附件1</w:t>
      </w:r>
    </w:p>
    <w:p>
      <w:pPr>
        <w:ind w:firstLine="2400" w:firstLineChars="750"/>
        <w:rPr>
          <w:rFonts w:ascii="方正黑体_GBK" w:eastAsia="方正黑体_GBK"/>
          <w:sz w:val="32"/>
          <w:szCs w:val="32"/>
        </w:rPr>
      </w:pPr>
      <w:r>
        <w:rPr>
          <w:rFonts w:hint="eastAsia" w:ascii="方正黑体_GBK" w:eastAsia="方正黑体_GBK"/>
          <w:sz w:val="32"/>
          <w:szCs w:val="32"/>
        </w:rPr>
        <w:t>医用耗材采购目录</w:t>
      </w:r>
    </w:p>
    <w:p>
      <w:pPr>
        <w:rPr>
          <w:rFonts w:ascii="方正黑体_GBK" w:eastAsia="方正黑体_GBK"/>
          <w:sz w:val="32"/>
          <w:szCs w:val="32"/>
        </w:rPr>
      </w:pPr>
      <w:r>
        <w:rPr>
          <w:rFonts w:hint="eastAsia" w:ascii="方正黑体_GBK" w:eastAsia="方正黑体_GBK"/>
          <w:sz w:val="32"/>
          <w:szCs w:val="32"/>
        </w:rPr>
        <w:t xml:space="preserve">见excel表 </w:t>
      </w:r>
    </w:p>
    <w:p>
      <w:pPr>
        <w:rPr>
          <w:rFonts w:ascii="方正黑体_GBK" w:eastAsia="方正黑体_GBK"/>
          <w:sz w:val="32"/>
          <w:szCs w:val="32"/>
        </w:rPr>
      </w:pPr>
      <w:r>
        <w:rPr>
          <w:rFonts w:hint="eastAsia" w:ascii="方正黑体_GBK" w:eastAsia="方正黑体_GBK"/>
          <w:sz w:val="32"/>
          <w:szCs w:val="32"/>
        </w:rPr>
        <w:t>注：种植工具箱有4个采购包，供应商申报采购包时，需申报同一采购包内所有产品。</w:t>
      </w: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附件2</w:t>
      </w:r>
    </w:p>
    <w:p>
      <w:pPr>
        <w:ind w:firstLine="2720" w:firstLineChars="850"/>
        <w:rPr>
          <w:rFonts w:ascii="方正黑体_GBK" w:eastAsia="方正黑体_GBK"/>
          <w:sz w:val="32"/>
          <w:szCs w:val="32"/>
        </w:rPr>
      </w:pPr>
      <w:r>
        <w:rPr>
          <w:rFonts w:hint="eastAsia" w:ascii="方正黑体_GBK" w:eastAsia="方正黑体_GBK"/>
          <w:sz w:val="32"/>
          <w:szCs w:val="32"/>
        </w:rPr>
        <w:t>产品申报保证金详表</w:t>
      </w:r>
    </w:p>
    <w:p>
      <w:pPr>
        <w:rPr>
          <w:rFonts w:ascii="方正黑体_GBK" w:eastAsia="方正黑体_GBK"/>
          <w:sz w:val="32"/>
          <w:szCs w:val="32"/>
        </w:rPr>
      </w:pPr>
      <w:r>
        <w:rPr>
          <w:rFonts w:hint="eastAsia" w:ascii="方正黑体_GBK" w:eastAsia="方正黑体_GBK"/>
          <w:sz w:val="32"/>
          <w:szCs w:val="32"/>
        </w:rPr>
        <w:t xml:space="preserve">见excel表 </w:t>
      </w: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附件3</w:t>
      </w:r>
    </w:p>
    <w:p>
      <w:pPr>
        <w:spacing w:line="540" w:lineRule="exact"/>
        <w:jc w:val="center"/>
        <w:rPr>
          <w:rFonts w:ascii="方正小标宋_GBK" w:eastAsia="方正小标宋_GBK"/>
          <w:bCs/>
          <w:sz w:val="44"/>
          <w:szCs w:val="44"/>
        </w:rPr>
      </w:pPr>
      <w:r>
        <w:rPr>
          <w:rFonts w:hint="eastAsia" w:ascii="方正小标宋_GBK" w:eastAsia="方正小标宋_GBK"/>
          <w:bCs/>
          <w:sz w:val="44"/>
          <w:szCs w:val="44"/>
        </w:rPr>
        <w:t>口腔医用耗材带量采购项目</w:t>
      </w:r>
    </w:p>
    <w:p>
      <w:pPr>
        <w:spacing w:line="540" w:lineRule="exact"/>
        <w:jc w:val="center"/>
        <w:rPr>
          <w:rFonts w:ascii="方正小标宋_GBK" w:eastAsia="方正小标宋_GBK"/>
          <w:bCs/>
          <w:sz w:val="44"/>
          <w:szCs w:val="44"/>
        </w:rPr>
      </w:pPr>
      <w:r>
        <w:rPr>
          <w:rFonts w:hint="eastAsia" w:ascii="方正小标宋_GBK" w:eastAsia="方正小标宋_GBK"/>
          <w:bCs/>
          <w:sz w:val="44"/>
          <w:szCs w:val="44"/>
        </w:rPr>
        <w:t>法定代表人授权书</w:t>
      </w:r>
    </w:p>
    <w:p>
      <w:pPr>
        <w:spacing w:line="540" w:lineRule="exact"/>
        <w:rPr>
          <w:rFonts w:ascii="方正仿宋_GBK" w:eastAsia="方正仿宋_GBK"/>
          <w:sz w:val="32"/>
          <w:szCs w:val="32"/>
        </w:rPr>
      </w:pPr>
    </w:p>
    <w:p>
      <w:pPr>
        <w:spacing w:line="540" w:lineRule="exact"/>
        <w:rPr>
          <w:rFonts w:ascii="方正仿宋_GBK" w:eastAsia="方正仿宋_GBK"/>
          <w:sz w:val="32"/>
          <w:szCs w:val="32"/>
          <w:u w:val="single"/>
        </w:rPr>
      </w:pPr>
      <w:r>
        <w:rPr>
          <w:rFonts w:hint="eastAsia" w:ascii="方正仿宋_GBK" w:eastAsia="方正仿宋_GBK"/>
          <w:sz w:val="32"/>
          <w:szCs w:val="32"/>
        </w:rPr>
        <w:t>本授权书声明：</w:t>
      </w:r>
    </w:p>
    <w:p>
      <w:pPr>
        <w:spacing w:line="540" w:lineRule="exact"/>
        <w:ind w:firstLine="640" w:firstLineChars="200"/>
        <w:jc w:val="left"/>
        <w:rPr>
          <w:rFonts w:ascii="方正仿宋_GBK" w:eastAsia="方正仿宋_GBK"/>
          <w:sz w:val="32"/>
          <w:szCs w:val="32"/>
          <w:u w:val="single"/>
        </w:rPr>
      </w:pPr>
      <w:r>
        <w:rPr>
          <w:rFonts w:hint="eastAsia" w:ascii="方正仿宋_GBK" w:eastAsia="方正仿宋_GBK"/>
          <w:sz w:val="32"/>
          <w:szCs w:val="32"/>
        </w:rPr>
        <w:t>注册于</w:t>
      </w:r>
      <w:r>
        <w:rPr>
          <w:rFonts w:hint="eastAsia" w:ascii="方正仿宋_GBK" w:eastAsia="方正仿宋_GBK"/>
          <w:sz w:val="32"/>
          <w:szCs w:val="32"/>
          <w:u w:val="single"/>
        </w:rPr>
        <w:t xml:space="preserve">                    </w:t>
      </w:r>
      <w:r>
        <w:rPr>
          <w:rFonts w:hint="eastAsia" w:ascii="方正仿宋_GBK" w:eastAsia="方正仿宋_GBK"/>
          <w:sz w:val="32"/>
          <w:szCs w:val="32"/>
        </w:rPr>
        <w:t>（地址）的</w:t>
      </w:r>
      <w:r>
        <w:rPr>
          <w:rFonts w:hint="eastAsia" w:ascii="方正仿宋_GBK" w:eastAsia="方正仿宋_GBK"/>
          <w:sz w:val="32"/>
          <w:szCs w:val="32"/>
          <w:u w:val="single"/>
        </w:rPr>
        <w:t xml:space="preserve">                </w:t>
      </w:r>
    </w:p>
    <w:p>
      <w:pPr>
        <w:spacing w:line="540" w:lineRule="exact"/>
        <w:ind w:firstLine="480"/>
        <w:jc w:val="left"/>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公司的</w:t>
      </w:r>
      <w:r>
        <w:rPr>
          <w:rFonts w:hint="eastAsia" w:ascii="方正仿宋_GBK" w:eastAsia="方正仿宋_GBK"/>
          <w:sz w:val="32"/>
          <w:szCs w:val="32"/>
          <w:u w:val="single"/>
        </w:rPr>
        <w:t xml:space="preserve">           </w:t>
      </w:r>
      <w:r>
        <w:rPr>
          <w:rFonts w:hint="eastAsia" w:ascii="方正仿宋_GBK" w:eastAsia="方正仿宋_GBK"/>
          <w:sz w:val="32"/>
          <w:szCs w:val="32"/>
        </w:rPr>
        <w:t>（法定代表人姓名、职务）授权本公司</w:t>
      </w:r>
      <w:r>
        <w:rPr>
          <w:rFonts w:hint="eastAsia" w:ascii="方正仿宋_GBK" w:eastAsia="方正仿宋_GBK"/>
          <w:sz w:val="32"/>
          <w:szCs w:val="32"/>
          <w:u w:val="single"/>
        </w:rPr>
        <w:t xml:space="preserve">              </w:t>
      </w:r>
      <w:r>
        <w:rPr>
          <w:rFonts w:hint="eastAsia" w:ascii="方正仿宋_GBK" w:eastAsia="方正仿宋_GBK"/>
          <w:sz w:val="32"/>
          <w:szCs w:val="32"/>
        </w:rPr>
        <w:t>（被授权人的姓名、职务）为公司的合法代理人，就2019年医用耗材带量采购项目，可以本公司名义参与产品申报、报价、谈判等，并处理一切与之相关的事务。我公司认可被授权人签字的文件对我公司具有法律效力。本企业与被授权人共同承诺本次项目的真实性、合法性、有效性。</w:t>
      </w:r>
    </w:p>
    <w:p>
      <w:pPr>
        <w:spacing w:line="540" w:lineRule="exact"/>
        <w:ind w:firstLine="480"/>
        <w:jc w:val="left"/>
        <w:rPr>
          <w:rFonts w:ascii="方正仿宋_GBK" w:eastAsia="方正仿宋_GBK"/>
          <w:sz w:val="28"/>
          <w:szCs w:val="28"/>
        </w:rPr>
      </w:pPr>
      <w:r>
        <w:rPr>
          <w:rFonts w:hint="eastAsia" w:ascii="方正仿宋_GBK" w:eastAsia="方正仿宋_GBK"/>
          <w:sz w:val="32"/>
          <w:szCs w:val="32"/>
        </w:rPr>
        <w:t>本授权书于</w:t>
      </w:r>
      <w:r>
        <w:rPr>
          <w:rFonts w:hint="eastAsia" w:ascii="方正仿宋_GBK" w:hAnsi="仿宋" w:eastAsia="方正仿宋_GBK" w:cs="仿宋"/>
          <w:sz w:val="32"/>
          <w:szCs w:val="32"/>
          <w:u w:val="single"/>
        </w:rPr>
        <w:t xml:space="preserve">       </w:t>
      </w:r>
      <w:r>
        <w:rPr>
          <w:rFonts w:hint="eastAsia" w:ascii="方正仿宋_GBK" w:eastAsia="方正仿宋_GBK"/>
          <w:sz w:val="32"/>
          <w:szCs w:val="32"/>
        </w:rPr>
        <w:t>年</w:t>
      </w:r>
      <w:r>
        <w:rPr>
          <w:rFonts w:hint="eastAsia" w:ascii="方正仿宋_GBK" w:hAnsi="仿宋" w:eastAsia="方正仿宋_GBK" w:cs="仿宋"/>
          <w:sz w:val="32"/>
          <w:szCs w:val="32"/>
          <w:u w:val="single"/>
        </w:rPr>
        <w:t xml:space="preserve">       </w:t>
      </w:r>
      <w:r>
        <w:rPr>
          <w:rFonts w:hint="eastAsia" w:ascii="方正仿宋_GBK" w:eastAsia="方正仿宋_GBK"/>
          <w:sz w:val="32"/>
          <w:szCs w:val="32"/>
        </w:rPr>
        <w:t>月</w:t>
      </w:r>
      <w:r>
        <w:rPr>
          <w:rFonts w:hint="eastAsia" w:ascii="方正仿宋_GBK" w:hAnsi="仿宋" w:eastAsia="方正仿宋_GBK" w:cs="仿宋"/>
          <w:sz w:val="32"/>
          <w:szCs w:val="32"/>
          <w:u w:val="single"/>
        </w:rPr>
        <w:t xml:space="preserve">      </w:t>
      </w:r>
      <w:r>
        <w:rPr>
          <w:rFonts w:hint="eastAsia" w:ascii="方正仿宋_GBK" w:eastAsia="方正仿宋_GBK"/>
          <w:sz w:val="32"/>
          <w:szCs w:val="32"/>
        </w:rPr>
        <w:t>日签字生效，有效期至本次项目截止日期结束。特此声明。</w:t>
      </w:r>
    </w:p>
    <w:p>
      <w:pPr>
        <w:adjustRightInd w:val="0"/>
        <w:snapToGrid w:val="0"/>
        <w:ind w:firstLine="378" w:firstLineChars="180"/>
        <w:rPr>
          <w:rFonts w:ascii="仿宋_GB2312" w:hAnsi="宋体" w:eastAsia="仿宋_GB2312"/>
          <w:snapToGrid w:val="0"/>
          <w:color w:val="000000"/>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2628900" cy="1658620"/>
                <wp:effectExtent l="4445" t="4445" r="14605" b="13335"/>
                <wp:wrapNone/>
                <wp:docPr id="3" name="矩形 3"/>
                <wp:cNvGraphicFramePr/>
                <a:graphic xmlns:a="http://schemas.openxmlformats.org/drawingml/2006/main">
                  <a:graphicData uri="http://schemas.microsoft.com/office/word/2010/wordprocessingShape">
                    <wps:wsp>
                      <wps:cNvSpPr/>
                      <wps:spPr>
                        <a:xfrm>
                          <a:off x="0" y="0"/>
                          <a:ext cx="2628900" cy="165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upright="1"/>
                    </wps:wsp>
                  </a:graphicData>
                </a:graphic>
              </wp:anchor>
            </w:drawing>
          </mc:Choice>
          <mc:Fallback>
            <w:pict>
              <v:rect id="_x0000_s1026" o:spid="_x0000_s1026" o:spt="1" style="position:absolute;left:0pt;margin-left:0pt;margin-top:0.65pt;height:130.6pt;width:207pt;z-index:251659264;mso-width-relative:page;mso-height-relative:page;" fillcolor="#FFFFFF" filled="t" stroked="t" coordsize="21600,21600" o:gfxdata="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GnyT1QAAAAYBAAAPAAAAAAAAAAEAIAAAACIAAABkcnMvZG93bnJldi54bWxQSwECFAAUAAAACACH&#10;TuJArgxQd+4BAADqAwAADgAAAAAAAAABACAAAAAkAQAAZHJzL2Uyb0RvYy54bWxQSwUGAAAAAAYA&#10;BgBZAQAAhAUAAAAA&#10;">
                <v:fill on="t" focussize="0,0"/>
                <v:stroke color="#000000"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委托人（法定代表人）</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8255</wp:posOffset>
                </wp:positionV>
                <wp:extent cx="2757170" cy="1656080"/>
                <wp:effectExtent l="4445" t="4445" r="19685" b="15875"/>
                <wp:wrapNone/>
                <wp:docPr id="4" name="矩形 4"/>
                <wp:cNvGraphicFramePr/>
                <a:graphic xmlns:a="http://schemas.openxmlformats.org/drawingml/2006/main">
                  <a:graphicData uri="http://schemas.microsoft.com/office/word/2010/wordprocessingShape">
                    <wps:wsp>
                      <wps:cNvSpPr/>
                      <wps:spPr>
                        <a:xfrm>
                          <a:off x="0" y="0"/>
                          <a:ext cx="275717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wps:txbx>
                      <wps:bodyPr upright="1"/>
                    </wps:wsp>
                  </a:graphicData>
                </a:graphic>
              </wp:anchor>
            </w:drawing>
          </mc:Choice>
          <mc:Fallback>
            <w:pict>
              <v:rect id="_x0000_s1026" o:spid="_x0000_s1026" o:spt="1" style="position:absolute;left:0pt;margin-left:210pt;margin-top:0.65pt;height:130.4pt;width:217.1pt;z-index:251660288;mso-width-relative:page;mso-height-relative:page;" fillcolor="#FFFFFF" filled="t" stroked="t" coordsize="21600,21600" o:gfxdata="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SyDS1wAAAAkBAAAPAAAAAAAAAAEAIAAAACIAAABkcnMvZG93bnJldi54bWxQSwECFAAUAAAA&#10;CACHTuJAsss54e8BAADqAwAADgAAAAAAAAABACAAAAAmAQAAZHJzL2Uyb0RvYy54bWxQSwUGAAAA&#10;AAYABgBZAQAAhwUAAAAA&#10;">
                <v:fill on="t" focussize="0,0"/>
                <v:stroke color="#000000" joinstyle="miter"/>
                <v:imagedata o:title=""/>
                <o:lock v:ext="edit" aspectratio="f"/>
                <v:textbox>
                  <w:txbxContent>
                    <w:p>
                      <w:pPr>
                        <w:jc w:val="center"/>
                        <w:rPr>
                          <w:rFonts w:ascii="仿宋_GB2312" w:eastAsia="仿宋_GB2312"/>
                          <w:sz w:val="30"/>
                        </w:rPr>
                      </w:pPr>
                    </w:p>
                    <w:p>
                      <w:pPr>
                        <w:jc w:val="center"/>
                        <w:rPr>
                          <w:rFonts w:ascii="仿宋_GB2312" w:hAnsi="宋体" w:eastAsia="仿宋_GB2312"/>
                          <w:bCs/>
                          <w:sz w:val="28"/>
                        </w:rPr>
                      </w:pPr>
                      <w:r>
                        <w:rPr>
                          <w:rFonts w:hint="eastAsia" w:ascii="仿宋_GB2312" w:hAnsi="宋体" w:eastAsia="仿宋_GB2312"/>
                          <w:bCs/>
                          <w:sz w:val="28"/>
                        </w:rPr>
                        <w:t>被委托人（申报代表）</w:t>
                      </w:r>
                    </w:p>
                    <w:p>
                      <w:pPr>
                        <w:jc w:val="center"/>
                        <w:rPr>
                          <w:rFonts w:ascii="仿宋_GB2312" w:hAnsi="宋体" w:eastAsia="仿宋_GB2312"/>
                          <w:bCs/>
                          <w:sz w:val="28"/>
                        </w:rPr>
                      </w:pPr>
                      <w:r>
                        <w:rPr>
                          <w:rFonts w:hint="eastAsia" w:ascii="仿宋_GB2312" w:hAnsi="宋体" w:eastAsia="仿宋_GB2312"/>
                          <w:bCs/>
                          <w:sz w:val="28"/>
                        </w:rPr>
                        <w:t>居民身份证复印件正反面</w:t>
                      </w:r>
                    </w:p>
                    <w:p>
                      <w:pPr>
                        <w:jc w:val="center"/>
                        <w:rPr>
                          <w:rFonts w:ascii="仿宋_GB2312" w:hAnsi="宋体" w:eastAsia="仿宋_GB2312"/>
                          <w:bCs/>
                          <w:sz w:val="28"/>
                        </w:rPr>
                      </w:pPr>
                      <w:r>
                        <w:rPr>
                          <w:rFonts w:hint="eastAsia" w:ascii="仿宋_GB2312" w:hAnsi="宋体" w:eastAsia="仿宋_GB2312"/>
                          <w:bCs/>
                          <w:sz w:val="28"/>
                        </w:rPr>
                        <w:t>粘贴处</w:t>
                      </w:r>
                    </w:p>
                  </w:txbxContent>
                </v:textbox>
              </v:rect>
            </w:pict>
          </mc:Fallback>
        </mc:AlternateContent>
      </w:r>
    </w:p>
    <w:p>
      <w:pPr>
        <w:adjustRightInd w:val="0"/>
        <w:snapToGrid w:val="0"/>
        <w:ind w:firstLine="540" w:firstLineChars="180"/>
        <w:rPr>
          <w:rFonts w:ascii="仿宋_GB2312" w:hAnsi="宋体" w:eastAsia="仿宋_GB2312"/>
          <w:snapToGrid w:val="0"/>
          <w:color w:val="000000"/>
          <w:kern w:val="0"/>
          <w:sz w:val="30"/>
          <w:szCs w:val="30"/>
        </w:rPr>
      </w:pPr>
    </w:p>
    <w:p>
      <w:pPr>
        <w:adjustRightInd w:val="0"/>
        <w:snapToGrid w:val="0"/>
        <w:ind w:firstLine="540" w:firstLineChars="180"/>
        <w:rPr>
          <w:rFonts w:ascii="仿宋_GB2312" w:hAnsi="宋体" w:eastAsia="仿宋_GB2312"/>
          <w:snapToGrid w:val="0"/>
          <w:color w:val="000000"/>
          <w:kern w:val="0"/>
          <w:sz w:val="30"/>
          <w:szCs w:val="30"/>
        </w:rPr>
      </w:pPr>
    </w:p>
    <w:p>
      <w:pPr>
        <w:adjustRightInd w:val="0"/>
        <w:snapToGrid w:val="0"/>
        <w:ind w:firstLine="540" w:firstLineChars="180"/>
        <w:rPr>
          <w:rFonts w:ascii="仿宋_GB2312" w:hAnsi="宋体" w:eastAsia="仿宋_GB2312"/>
          <w:snapToGrid w:val="0"/>
          <w:color w:val="000000"/>
          <w:kern w:val="0"/>
          <w:sz w:val="30"/>
          <w:szCs w:val="30"/>
        </w:rPr>
      </w:pPr>
    </w:p>
    <w:p>
      <w:pPr>
        <w:outlineLvl w:val="0"/>
        <w:rPr>
          <w:rFonts w:ascii="方正仿宋_GBK" w:hAnsi="仿宋" w:eastAsia="方正仿宋_GBK" w:cs="仿宋"/>
          <w:sz w:val="32"/>
          <w:szCs w:val="32"/>
        </w:rPr>
      </w:pPr>
    </w:p>
    <w:p>
      <w:pPr>
        <w:spacing w:line="560" w:lineRule="exact"/>
        <w:outlineLvl w:val="0"/>
        <w:rPr>
          <w:rFonts w:ascii="方正仿宋_GBK" w:hAnsi="仿宋" w:eastAsia="方正仿宋_GBK" w:cs="仿宋"/>
          <w:sz w:val="32"/>
          <w:szCs w:val="32"/>
        </w:rPr>
      </w:pPr>
    </w:p>
    <w:p>
      <w:pPr>
        <w:spacing w:line="540" w:lineRule="exact"/>
        <w:outlineLvl w:val="0"/>
        <w:rPr>
          <w:rFonts w:ascii="方正仿宋_GBK" w:hAnsi="仿宋" w:eastAsia="方正仿宋_GBK" w:cs="仿宋"/>
          <w:sz w:val="32"/>
          <w:szCs w:val="32"/>
        </w:rPr>
      </w:pPr>
      <w:r>
        <w:rPr>
          <w:rFonts w:hint="eastAsia" w:ascii="方正仿宋_GBK" w:hAnsi="仿宋" w:eastAsia="方正仿宋_GBK" w:cs="仿宋"/>
          <w:sz w:val="32"/>
          <w:szCs w:val="32"/>
        </w:rPr>
        <w:t>授权法定代表人签字盖章：</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职务(法人)：</w:t>
      </w:r>
      <w:r>
        <w:rPr>
          <w:rFonts w:hint="eastAsia" w:ascii="方正仿宋_GBK" w:hAnsi="仿宋" w:eastAsia="方正仿宋_GBK" w:cs="仿宋"/>
          <w:sz w:val="32"/>
          <w:szCs w:val="32"/>
          <w:u w:val="single"/>
        </w:rPr>
        <w:t xml:space="preserve">         </w:t>
      </w:r>
    </w:p>
    <w:p>
      <w:pPr>
        <w:spacing w:line="540" w:lineRule="exact"/>
        <w:outlineLvl w:val="0"/>
        <w:rPr>
          <w:rFonts w:ascii="方正仿宋_GBK" w:hAnsi="仿宋" w:eastAsia="方正仿宋_GBK" w:cs="仿宋"/>
          <w:sz w:val="32"/>
          <w:szCs w:val="32"/>
          <w:u w:val="single"/>
        </w:rPr>
      </w:pPr>
      <w:r>
        <w:rPr>
          <w:rFonts w:hint="eastAsia" w:ascii="方正仿宋_GBK" w:hAnsi="仿宋" w:eastAsia="方正仿宋_GBK" w:cs="仿宋"/>
          <w:sz w:val="32"/>
          <w:szCs w:val="32"/>
        </w:rPr>
        <w:t>被授权人签字盖章：</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联系方式(手机)：</w:t>
      </w:r>
      <w:r>
        <w:rPr>
          <w:rFonts w:hint="eastAsia" w:ascii="方正仿宋_GBK" w:hAnsi="仿宋" w:eastAsia="方正仿宋_GBK" w:cs="仿宋"/>
          <w:sz w:val="32"/>
          <w:szCs w:val="32"/>
          <w:u w:val="single"/>
        </w:rPr>
        <w:t xml:space="preserve">         </w:t>
      </w:r>
    </w:p>
    <w:p>
      <w:pPr>
        <w:spacing w:line="540" w:lineRule="exact"/>
        <w:outlineLvl w:val="0"/>
        <w:rPr>
          <w:rFonts w:ascii="方正仿宋_GBK" w:hAnsi="仿宋" w:eastAsia="方正仿宋_GBK" w:cs="仿宋"/>
          <w:sz w:val="32"/>
          <w:szCs w:val="32"/>
          <w:u w:val="single"/>
        </w:rPr>
      </w:pPr>
      <w:r>
        <w:rPr>
          <w:rFonts w:hint="eastAsia" w:ascii="方正仿宋_GBK" w:hAnsi="仿宋" w:eastAsia="方正仿宋_GBK" w:cs="仿宋"/>
          <w:sz w:val="32"/>
          <w:szCs w:val="32"/>
          <w:u w:val="single"/>
        </w:rPr>
        <w:t xml:space="preserve">电子邮箱地址：                                      </w:t>
      </w:r>
    </w:p>
    <w:p>
      <w:pPr>
        <w:spacing w:line="540" w:lineRule="exact"/>
        <w:outlineLvl w:val="0"/>
        <w:rPr>
          <w:rFonts w:ascii="方正仿宋_GBK" w:hAnsi="仿宋" w:eastAsia="方正仿宋_GBK"/>
          <w:sz w:val="24"/>
        </w:rPr>
      </w:pPr>
      <w:r>
        <w:rPr>
          <w:rFonts w:hint="eastAsia" w:ascii="方正仿宋_GBK" w:hAnsi="仿宋" w:eastAsia="方正仿宋_GBK" w:cs="仿宋"/>
          <w:sz w:val="32"/>
          <w:szCs w:val="32"/>
        </w:rPr>
        <w:t>单位名称：</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地址：</w:t>
      </w:r>
      <w:r>
        <w:rPr>
          <w:rFonts w:hint="eastAsia" w:ascii="方正仿宋_GBK" w:hAnsi="仿宋" w:eastAsia="方正仿宋_GBK" w:cs="仿宋"/>
          <w:sz w:val="32"/>
          <w:szCs w:val="32"/>
          <w:u w:val="single"/>
        </w:rPr>
        <w:t xml:space="preserve">                      </w:t>
      </w:r>
    </w:p>
    <w:p>
      <w:pPr>
        <w:spacing w:line="540" w:lineRule="exact"/>
      </w:pPr>
      <w:r>
        <w:rPr>
          <w:rFonts w:hint="eastAsia" w:ascii="方正仿宋_GBK" w:hAnsi="仿宋" w:eastAsia="方正仿宋_GBK" w:cs="仿宋"/>
          <w:sz w:val="32"/>
          <w:szCs w:val="32"/>
        </w:rPr>
        <w:t>出具授权书的生产企业名称(盖章)：</w:t>
      </w:r>
      <w:r>
        <w:rPr>
          <w:rFonts w:hint="eastAsia" w:ascii="方正仿宋_GBK" w:hAnsi="仿宋" w:eastAsia="方正仿宋_GBK" w:cs="仿宋"/>
          <w:sz w:val="32"/>
          <w:szCs w:val="32"/>
          <w:u w:val="single"/>
        </w:rPr>
        <w:t xml:space="preserve">                     </w:t>
      </w:r>
    </w:p>
    <w:p>
      <w:pPr>
        <w:rPr>
          <w:rFonts w:ascii="方正黑体_GBK" w:eastAsia="方正黑体_GBK"/>
          <w:sz w:val="32"/>
          <w:szCs w:val="32"/>
        </w:rPr>
      </w:pPr>
      <w:r>
        <w:rPr>
          <w:rFonts w:hint="eastAsia" w:ascii="方正黑体_GBK" w:eastAsia="方正黑体_GBK"/>
          <w:sz w:val="32"/>
          <w:szCs w:val="32"/>
        </w:rPr>
        <w:t>附件4</w:t>
      </w:r>
    </w:p>
    <w:p>
      <w:pPr>
        <w:jc w:val="center"/>
        <w:rPr>
          <w:rFonts w:ascii="方正小标宋_GBK" w:eastAsia="方正小标宋_GBK"/>
          <w:bCs/>
          <w:sz w:val="44"/>
          <w:szCs w:val="44"/>
        </w:rPr>
      </w:pPr>
      <w:r>
        <w:rPr>
          <w:rFonts w:hint="eastAsia" w:ascii="方正小标宋_GBK" w:eastAsia="方正小标宋_GBK"/>
          <w:bCs/>
          <w:sz w:val="44"/>
          <w:szCs w:val="44"/>
        </w:rPr>
        <w:t>供货企业承诺书</w:t>
      </w:r>
    </w:p>
    <w:p>
      <w:pPr>
        <w:rPr>
          <w:rFonts w:ascii="黑体" w:hAnsi="黑体" w:eastAsia="黑体"/>
          <w:sz w:val="36"/>
          <w:szCs w:val="36"/>
        </w:rPr>
      </w:pPr>
    </w:p>
    <w:p>
      <w:pPr>
        <w:spacing w:line="57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宋体"/>
          <w:kern w:val="0"/>
          <w:sz w:val="32"/>
          <w:szCs w:val="32"/>
        </w:rPr>
        <w:t xml:space="preserve">（申报企业名称）为合法注册的医药产品供应企业，自愿参与此次2019年医用耗材带量采购，并进行此次产品报名，申报产品为 </w:t>
      </w:r>
    </w:p>
    <w:p>
      <w:pPr>
        <w:snapToGrid w:val="0"/>
        <w:ind w:firstLine="640" w:firstLineChars="200"/>
        <w:rPr>
          <w:rFonts w:ascii="方正仿宋_GBK" w:eastAsia="方正仿宋_GBK"/>
          <w:sz w:val="32"/>
          <w:szCs w:val="32"/>
        </w:rPr>
      </w:pPr>
    </w:p>
    <w:tbl>
      <w:tblPr>
        <w:tblStyle w:val="7"/>
        <w:tblW w:w="10197" w:type="dxa"/>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08"/>
        <w:gridCol w:w="1559"/>
        <w:gridCol w:w="1134"/>
        <w:gridCol w:w="1276"/>
        <w:gridCol w:w="1559"/>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1808" w:type="dxa"/>
            <w:shd w:val="clear" w:color="auto" w:fill="auto"/>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采购包名称</w:t>
            </w:r>
          </w:p>
        </w:tc>
        <w:tc>
          <w:tcPr>
            <w:tcW w:w="1559" w:type="dxa"/>
            <w:shd w:val="clear" w:color="auto" w:fill="auto"/>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产品名称</w:t>
            </w:r>
          </w:p>
        </w:tc>
        <w:tc>
          <w:tcPr>
            <w:tcW w:w="1134" w:type="dxa"/>
            <w:shd w:val="clear" w:color="auto" w:fill="auto"/>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型号</w:t>
            </w:r>
          </w:p>
        </w:tc>
        <w:tc>
          <w:tcPr>
            <w:tcW w:w="1276" w:type="dxa"/>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规格</w:t>
            </w:r>
          </w:p>
        </w:tc>
        <w:tc>
          <w:tcPr>
            <w:tcW w:w="1559" w:type="dxa"/>
            <w:shd w:val="clear" w:color="auto" w:fill="auto"/>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包装规格</w:t>
            </w:r>
          </w:p>
        </w:tc>
        <w:tc>
          <w:tcPr>
            <w:tcW w:w="1692" w:type="dxa"/>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p>
        </w:tc>
        <w:tc>
          <w:tcPr>
            <w:tcW w:w="1808" w:type="dxa"/>
            <w:vMerge w:val="restart"/>
            <w:shd w:val="clear" w:color="auto" w:fill="auto"/>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工具箱采购包1：ITI种植工具箱</w:t>
            </w:r>
          </w:p>
        </w:tc>
        <w:tc>
          <w:tcPr>
            <w:tcW w:w="1559" w:type="dxa"/>
            <w:shd w:val="clear" w:color="auto" w:fill="auto"/>
          </w:tcPr>
          <w:p>
            <w:pPr>
              <w:widowControl/>
              <w:jc w:val="center"/>
              <w:rPr>
                <w:rFonts w:ascii="仿宋" w:hAnsi="仿宋" w:eastAsia="仿宋" w:cs="宋体"/>
                <w:b/>
                <w:bCs/>
                <w:kern w:val="0"/>
                <w:sz w:val="28"/>
                <w:szCs w:val="28"/>
              </w:rPr>
            </w:pPr>
          </w:p>
        </w:tc>
        <w:tc>
          <w:tcPr>
            <w:tcW w:w="1134" w:type="dxa"/>
            <w:shd w:val="clear" w:color="auto" w:fill="auto"/>
            <w:vAlign w:val="center"/>
          </w:tcPr>
          <w:p>
            <w:pPr>
              <w:widowControl/>
              <w:jc w:val="center"/>
              <w:rPr>
                <w:rFonts w:ascii="仿宋" w:hAnsi="仿宋" w:eastAsia="仿宋" w:cs="宋体"/>
                <w:b/>
                <w:bCs/>
                <w:kern w:val="0"/>
                <w:sz w:val="28"/>
                <w:szCs w:val="28"/>
              </w:rPr>
            </w:pPr>
          </w:p>
        </w:tc>
        <w:tc>
          <w:tcPr>
            <w:tcW w:w="1276" w:type="dxa"/>
            <w:vAlign w:val="center"/>
          </w:tcPr>
          <w:p>
            <w:pPr>
              <w:widowControl/>
              <w:jc w:val="center"/>
              <w:rPr>
                <w:rFonts w:ascii="仿宋" w:hAnsi="仿宋" w:eastAsia="仿宋" w:cs="宋体"/>
                <w:b/>
                <w:bCs/>
                <w:kern w:val="0"/>
                <w:sz w:val="28"/>
                <w:szCs w:val="28"/>
              </w:rPr>
            </w:pPr>
          </w:p>
        </w:tc>
        <w:tc>
          <w:tcPr>
            <w:tcW w:w="1559" w:type="dxa"/>
            <w:shd w:val="clear" w:color="auto" w:fill="auto"/>
            <w:vAlign w:val="center"/>
          </w:tcPr>
          <w:p>
            <w:pPr>
              <w:widowControl/>
              <w:jc w:val="center"/>
              <w:rPr>
                <w:rFonts w:ascii="仿宋" w:hAnsi="仿宋" w:eastAsia="仿宋" w:cs="宋体"/>
                <w:b/>
                <w:bCs/>
                <w:kern w:val="0"/>
                <w:sz w:val="28"/>
                <w:szCs w:val="28"/>
              </w:rPr>
            </w:pPr>
          </w:p>
        </w:tc>
        <w:tc>
          <w:tcPr>
            <w:tcW w:w="1692" w:type="dxa"/>
          </w:tcPr>
          <w:p>
            <w:pPr>
              <w:widowControl/>
              <w:jc w:val="center"/>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p>
        </w:tc>
        <w:tc>
          <w:tcPr>
            <w:tcW w:w="1808" w:type="dxa"/>
            <w:vMerge w:val="continue"/>
            <w:shd w:val="clear" w:color="auto" w:fill="auto"/>
          </w:tcPr>
          <w:p>
            <w:pPr>
              <w:widowControl/>
              <w:jc w:val="center"/>
              <w:rPr>
                <w:rFonts w:ascii="仿宋" w:hAnsi="仿宋" w:eastAsia="仿宋" w:cs="宋体"/>
                <w:b/>
                <w:bCs/>
                <w:kern w:val="0"/>
                <w:sz w:val="28"/>
                <w:szCs w:val="28"/>
              </w:rPr>
            </w:pPr>
          </w:p>
        </w:tc>
        <w:tc>
          <w:tcPr>
            <w:tcW w:w="1559" w:type="dxa"/>
            <w:shd w:val="clear" w:color="auto" w:fill="auto"/>
          </w:tcPr>
          <w:p>
            <w:pPr>
              <w:widowControl/>
              <w:jc w:val="center"/>
              <w:rPr>
                <w:rFonts w:ascii="仿宋" w:hAnsi="仿宋" w:eastAsia="仿宋" w:cs="宋体"/>
                <w:b/>
                <w:bCs/>
                <w:kern w:val="0"/>
                <w:sz w:val="28"/>
                <w:szCs w:val="28"/>
              </w:rPr>
            </w:pPr>
          </w:p>
        </w:tc>
        <w:tc>
          <w:tcPr>
            <w:tcW w:w="1134" w:type="dxa"/>
            <w:shd w:val="clear" w:color="auto" w:fill="auto"/>
            <w:vAlign w:val="center"/>
          </w:tcPr>
          <w:p>
            <w:pPr>
              <w:widowControl/>
              <w:jc w:val="center"/>
              <w:rPr>
                <w:rFonts w:ascii="仿宋" w:hAnsi="仿宋" w:eastAsia="仿宋" w:cs="宋体"/>
                <w:b/>
                <w:bCs/>
                <w:kern w:val="0"/>
                <w:sz w:val="28"/>
                <w:szCs w:val="28"/>
              </w:rPr>
            </w:pPr>
          </w:p>
        </w:tc>
        <w:tc>
          <w:tcPr>
            <w:tcW w:w="1276" w:type="dxa"/>
            <w:vAlign w:val="center"/>
          </w:tcPr>
          <w:p>
            <w:pPr>
              <w:widowControl/>
              <w:jc w:val="center"/>
              <w:rPr>
                <w:rFonts w:ascii="仿宋" w:hAnsi="仿宋" w:eastAsia="仿宋" w:cs="宋体"/>
                <w:b/>
                <w:bCs/>
                <w:kern w:val="0"/>
                <w:sz w:val="28"/>
                <w:szCs w:val="28"/>
              </w:rPr>
            </w:pPr>
          </w:p>
        </w:tc>
        <w:tc>
          <w:tcPr>
            <w:tcW w:w="1559" w:type="dxa"/>
            <w:shd w:val="clear" w:color="auto" w:fill="auto"/>
            <w:vAlign w:val="center"/>
          </w:tcPr>
          <w:p>
            <w:pPr>
              <w:widowControl/>
              <w:jc w:val="center"/>
              <w:rPr>
                <w:rFonts w:ascii="仿宋" w:hAnsi="仿宋" w:eastAsia="仿宋" w:cs="宋体"/>
                <w:b/>
                <w:bCs/>
                <w:kern w:val="0"/>
                <w:sz w:val="28"/>
                <w:szCs w:val="28"/>
              </w:rPr>
            </w:pPr>
          </w:p>
        </w:tc>
        <w:tc>
          <w:tcPr>
            <w:tcW w:w="1692" w:type="dxa"/>
          </w:tcPr>
          <w:p>
            <w:pPr>
              <w:widowControl/>
              <w:jc w:val="center"/>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p>
        </w:tc>
        <w:tc>
          <w:tcPr>
            <w:tcW w:w="1808" w:type="dxa"/>
            <w:vMerge w:val="continue"/>
            <w:shd w:val="clear" w:color="auto" w:fill="auto"/>
          </w:tcPr>
          <w:p>
            <w:pPr>
              <w:widowControl/>
              <w:jc w:val="center"/>
              <w:rPr>
                <w:rFonts w:ascii="仿宋" w:hAnsi="仿宋" w:eastAsia="仿宋" w:cs="宋体"/>
                <w:b/>
                <w:bCs/>
                <w:kern w:val="0"/>
                <w:sz w:val="28"/>
                <w:szCs w:val="28"/>
              </w:rPr>
            </w:pPr>
          </w:p>
        </w:tc>
        <w:tc>
          <w:tcPr>
            <w:tcW w:w="1559" w:type="dxa"/>
            <w:shd w:val="clear" w:color="auto" w:fill="auto"/>
          </w:tcPr>
          <w:p>
            <w:pPr>
              <w:widowControl/>
              <w:jc w:val="center"/>
              <w:rPr>
                <w:rFonts w:ascii="仿宋" w:hAnsi="仿宋" w:eastAsia="仿宋" w:cs="宋体"/>
                <w:b/>
                <w:bCs/>
                <w:kern w:val="0"/>
                <w:sz w:val="28"/>
                <w:szCs w:val="28"/>
              </w:rPr>
            </w:pPr>
          </w:p>
        </w:tc>
        <w:tc>
          <w:tcPr>
            <w:tcW w:w="1134" w:type="dxa"/>
            <w:shd w:val="clear" w:color="auto" w:fill="auto"/>
            <w:vAlign w:val="center"/>
          </w:tcPr>
          <w:p>
            <w:pPr>
              <w:widowControl/>
              <w:jc w:val="center"/>
              <w:rPr>
                <w:rFonts w:ascii="仿宋" w:hAnsi="仿宋" w:eastAsia="仿宋" w:cs="宋体"/>
                <w:b/>
                <w:bCs/>
                <w:kern w:val="0"/>
                <w:sz w:val="28"/>
                <w:szCs w:val="28"/>
              </w:rPr>
            </w:pPr>
          </w:p>
        </w:tc>
        <w:tc>
          <w:tcPr>
            <w:tcW w:w="1276" w:type="dxa"/>
            <w:vAlign w:val="center"/>
          </w:tcPr>
          <w:p>
            <w:pPr>
              <w:widowControl/>
              <w:jc w:val="center"/>
              <w:rPr>
                <w:rFonts w:ascii="仿宋" w:hAnsi="仿宋" w:eastAsia="仿宋" w:cs="宋体"/>
                <w:b/>
                <w:bCs/>
                <w:kern w:val="0"/>
                <w:sz w:val="28"/>
                <w:szCs w:val="28"/>
              </w:rPr>
            </w:pPr>
          </w:p>
        </w:tc>
        <w:tc>
          <w:tcPr>
            <w:tcW w:w="1559" w:type="dxa"/>
            <w:shd w:val="clear" w:color="auto" w:fill="auto"/>
            <w:vAlign w:val="center"/>
          </w:tcPr>
          <w:p>
            <w:pPr>
              <w:widowControl/>
              <w:jc w:val="center"/>
              <w:rPr>
                <w:rFonts w:ascii="仿宋" w:hAnsi="仿宋" w:eastAsia="仿宋" w:cs="宋体"/>
                <w:b/>
                <w:bCs/>
                <w:kern w:val="0"/>
                <w:sz w:val="28"/>
                <w:szCs w:val="28"/>
              </w:rPr>
            </w:pPr>
          </w:p>
        </w:tc>
        <w:tc>
          <w:tcPr>
            <w:tcW w:w="1692" w:type="dxa"/>
          </w:tcPr>
          <w:p>
            <w:pPr>
              <w:widowControl/>
              <w:jc w:val="center"/>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p>
        </w:tc>
        <w:tc>
          <w:tcPr>
            <w:tcW w:w="1808" w:type="dxa"/>
            <w:vMerge w:val="restart"/>
            <w:shd w:val="clear" w:color="auto" w:fill="auto"/>
          </w:tcPr>
          <w:p>
            <w:pPr>
              <w:widowControl/>
              <w:jc w:val="center"/>
              <w:rPr>
                <w:rFonts w:ascii="仿宋" w:hAnsi="仿宋" w:eastAsia="仿宋" w:cs="宋体"/>
                <w:b/>
                <w:bCs/>
                <w:kern w:val="0"/>
                <w:sz w:val="28"/>
                <w:szCs w:val="28"/>
              </w:rPr>
            </w:pPr>
          </w:p>
        </w:tc>
        <w:tc>
          <w:tcPr>
            <w:tcW w:w="1559" w:type="dxa"/>
            <w:shd w:val="clear" w:color="auto" w:fill="auto"/>
          </w:tcPr>
          <w:p>
            <w:pPr>
              <w:widowControl/>
              <w:jc w:val="center"/>
              <w:rPr>
                <w:rFonts w:ascii="仿宋" w:hAnsi="仿宋" w:eastAsia="仿宋" w:cs="宋体"/>
                <w:b/>
                <w:bCs/>
                <w:kern w:val="0"/>
                <w:sz w:val="28"/>
                <w:szCs w:val="28"/>
              </w:rPr>
            </w:pPr>
          </w:p>
        </w:tc>
        <w:tc>
          <w:tcPr>
            <w:tcW w:w="1134" w:type="dxa"/>
            <w:shd w:val="clear" w:color="auto" w:fill="auto"/>
            <w:vAlign w:val="center"/>
          </w:tcPr>
          <w:p>
            <w:pPr>
              <w:widowControl/>
              <w:jc w:val="center"/>
              <w:rPr>
                <w:rFonts w:ascii="仿宋" w:hAnsi="仿宋" w:eastAsia="仿宋" w:cs="宋体"/>
                <w:b/>
                <w:bCs/>
                <w:kern w:val="0"/>
                <w:sz w:val="28"/>
                <w:szCs w:val="28"/>
              </w:rPr>
            </w:pPr>
          </w:p>
        </w:tc>
        <w:tc>
          <w:tcPr>
            <w:tcW w:w="1276" w:type="dxa"/>
            <w:vAlign w:val="center"/>
          </w:tcPr>
          <w:p>
            <w:pPr>
              <w:widowControl/>
              <w:jc w:val="center"/>
              <w:rPr>
                <w:rFonts w:ascii="仿宋" w:hAnsi="仿宋" w:eastAsia="仿宋" w:cs="宋体"/>
                <w:b/>
                <w:bCs/>
                <w:kern w:val="0"/>
                <w:sz w:val="28"/>
                <w:szCs w:val="28"/>
              </w:rPr>
            </w:pPr>
          </w:p>
        </w:tc>
        <w:tc>
          <w:tcPr>
            <w:tcW w:w="1559" w:type="dxa"/>
            <w:shd w:val="clear" w:color="auto" w:fill="auto"/>
            <w:vAlign w:val="center"/>
          </w:tcPr>
          <w:p>
            <w:pPr>
              <w:widowControl/>
              <w:jc w:val="center"/>
              <w:rPr>
                <w:rFonts w:ascii="仿宋" w:hAnsi="仿宋" w:eastAsia="仿宋" w:cs="宋体"/>
                <w:b/>
                <w:bCs/>
                <w:kern w:val="0"/>
                <w:sz w:val="28"/>
                <w:szCs w:val="28"/>
              </w:rPr>
            </w:pPr>
          </w:p>
        </w:tc>
        <w:tc>
          <w:tcPr>
            <w:tcW w:w="1692" w:type="dxa"/>
          </w:tcPr>
          <w:p>
            <w:pPr>
              <w:widowControl/>
              <w:jc w:val="center"/>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p>
        </w:tc>
        <w:tc>
          <w:tcPr>
            <w:tcW w:w="1808" w:type="dxa"/>
            <w:vMerge w:val="continue"/>
            <w:shd w:val="clear" w:color="auto" w:fill="auto"/>
          </w:tcPr>
          <w:p>
            <w:pPr>
              <w:widowControl/>
              <w:jc w:val="center"/>
              <w:rPr>
                <w:rFonts w:ascii="仿宋" w:hAnsi="仿宋" w:eastAsia="仿宋" w:cs="宋体"/>
                <w:b/>
                <w:bCs/>
                <w:kern w:val="0"/>
                <w:sz w:val="28"/>
                <w:szCs w:val="28"/>
              </w:rPr>
            </w:pPr>
          </w:p>
        </w:tc>
        <w:tc>
          <w:tcPr>
            <w:tcW w:w="1559" w:type="dxa"/>
            <w:shd w:val="clear" w:color="auto" w:fill="auto"/>
          </w:tcPr>
          <w:p>
            <w:pPr>
              <w:widowControl/>
              <w:jc w:val="center"/>
              <w:rPr>
                <w:rFonts w:ascii="仿宋" w:hAnsi="仿宋" w:eastAsia="仿宋" w:cs="宋体"/>
                <w:b/>
                <w:bCs/>
                <w:kern w:val="0"/>
                <w:sz w:val="28"/>
                <w:szCs w:val="28"/>
              </w:rPr>
            </w:pPr>
          </w:p>
        </w:tc>
        <w:tc>
          <w:tcPr>
            <w:tcW w:w="1134" w:type="dxa"/>
            <w:shd w:val="clear" w:color="auto" w:fill="auto"/>
            <w:vAlign w:val="center"/>
          </w:tcPr>
          <w:p>
            <w:pPr>
              <w:widowControl/>
              <w:jc w:val="center"/>
              <w:rPr>
                <w:rFonts w:ascii="仿宋" w:hAnsi="仿宋" w:eastAsia="仿宋" w:cs="宋体"/>
                <w:b/>
                <w:bCs/>
                <w:kern w:val="0"/>
                <w:sz w:val="28"/>
                <w:szCs w:val="28"/>
              </w:rPr>
            </w:pPr>
          </w:p>
        </w:tc>
        <w:tc>
          <w:tcPr>
            <w:tcW w:w="1276" w:type="dxa"/>
            <w:vAlign w:val="center"/>
          </w:tcPr>
          <w:p>
            <w:pPr>
              <w:widowControl/>
              <w:jc w:val="center"/>
              <w:rPr>
                <w:rFonts w:ascii="仿宋" w:hAnsi="仿宋" w:eastAsia="仿宋" w:cs="宋体"/>
                <w:b/>
                <w:bCs/>
                <w:kern w:val="0"/>
                <w:sz w:val="28"/>
                <w:szCs w:val="28"/>
              </w:rPr>
            </w:pPr>
          </w:p>
        </w:tc>
        <w:tc>
          <w:tcPr>
            <w:tcW w:w="1559" w:type="dxa"/>
            <w:shd w:val="clear" w:color="auto" w:fill="auto"/>
            <w:vAlign w:val="center"/>
          </w:tcPr>
          <w:p>
            <w:pPr>
              <w:widowControl/>
              <w:jc w:val="center"/>
              <w:rPr>
                <w:rFonts w:ascii="仿宋" w:hAnsi="仿宋" w:eastAsia="仿宋" w:cs="宋体"/>
                <w:b/>
                <w:bCs/>
                <w:kern w:val="0"/>
                <w:sz w:val="28"/>
                <w:szCs w:val="28"/>
              </w:rPr>
            </w:pPr>
          </w:p>
        </w:tc>
        <w:tc>
          <w:tcPr>
            <w:tcW w:w="1692" w:type="dxa"/>
          </w:tcPr>
          <w:p>
            <w:pPr>
              <w:widowControl/>
              <w:jc w:val="center"/>
              <w:rPr>
                <w:rFonts w:ascii="仿宋" w:hAnsi="仿宋" w:eastAsia="仿宋"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69" w:type="dxa"/>
          </w:tcPr>
          <w:p>
            <w:pPr>
              <w:widowControl/>
              <w:jc w:val="center"/>
              <w:rPr>
                <w:rFonts w:ascii="仿宋" w:hAnsi="仿宋" w:eastAsia="仿宋" w:cs="宋体"/>
                <w:b/>
                <w:bCs/>
                <w:kern w:val="0"/>
                <w:sz w:val="28"/>
                <w:szCs w:val="28"/>
              </w:rPr>
            </w:pPr>
          </w:p>
        </w:tc>
        <w:tc>
          <w:tcPr>
            <w:tcW w:w="1808" w:type="dxa"/>
            <w:vMerge w:val="continue"/>
            <w:shd w:val="clear" w:color="auto" w:fill="auto"/>
          </w:tcPr>
          <w:p>
            <w:pPr>
              <w:widowControl/>
              <w:jc w:val="center"/>
              <w:rPr>
                <w:rFonts w:ascii="仿宋" w:hAnsi="仿宋" w:eastAsia="仿宋" w:cs="宋体"/>
                <w:b/>
                <w:bCs/>
                <w:kern w:val="0"/>
                <w:sz w:val="28"/>
                <w:szCs w:val="28"/>
              </w:rPr>
            </w:pPr>
          </w:p>
        </w:tc>
        <w:tc>
          <w:tcPr>
            <w:tcW w:w="1559" w:type="dxa"/>
            <w:shd w:val="clear" w:color="auto" w:fill="auto"/>
          </w:tcPr>
          <w:p>
            <w:pPr>
              <w:widowControl/>
              <w:jc w:val="center"/>
              <w:rPr>
                <w:rFonts w:ascii="仿宋" w:hAnsi="仿宋" w:eastAsia="仿宋" w:cs="宋体"/>
                <w:b/>
                <w:bCs/>
                <w:kern w:val="0"/>
                <w:sz w:val="28"/>
                <w:szCs w:val="28"/>
              </w:rPr>
            </w:pPr>
          </w:p>
        </w:tc>
        <w:tc>
          <w:tcPr>
            <w:tcW w:w="1134" w:type="dxa"/>
            <w:shd w:val="clear" w:color="auto" w:fill="auto"/>
            <w:vAlign w:val="center"/>
          </w:tcPr>
          <w:p>
            <w:pPr>
              <w:widowControl/>
              <w:jc w:val="center"/>
              <w:rPr>
                <w:rFonts w:ascii="仿宋" w:hAnsi="仿宋" w:eastAsia="仿宋" w:cs="宋体"/>
                <w:b/>
                <w:bCs/>
                <w:kern w:val="0"/>
                <w:sz w:val="28"/>
                <w:szCs w:val="28"/>
              </w:rPr>
            </w:pPr>
          </w:p>
        </w:tc>
        <w:tc>
          <w:tcPr>
            <w:tcW w:w="1276" w:type="dxa"/>
            <w:vAlign w:val="center"/>
          </w:tcPr>
          <w:p>
            <w:pPr>
              <w:widowControl/>
              <w:jc w:val="center"/>
              <w:rPr>
                <w:rFonts w:ascii="仿宋" w:hAnsi="仿宋" w:eastAsia="仿宋" w:cs="宋体"/>
                <w:b/>
                <w:bCs/>
                <w:kern w:val="0"/>
                <w:sz w:val="28"/>
                <w:szCs w:val="28"/>
              </w:rPr>
            </w:pPr>
          </w:p>
        </w:tc>
        <w:tc>
          <w:tcPr>
            <w:tcW w:w="1559" w:type="dxa"/>
            <w:shd w:val="clear" w:color="auto" w:fill="auto"/>
            <w:vAlign w:val="center"/>
          </w:tcPr>
          <w:p>
            <w:pPr>
              <w:widowControl/>
              <w:jc w:val="center"/>
              <w:rPr>
                <w:rFonts w:ascii="仿宋" w:hAnsi="仿宋" w:eastAsia="仿宋" w:cs="宋体"/>
                <w:b/>
                <w:bCs/>
                <w:kern w:val="0"/>
                <w:sz w:val="28"/>
                <w:szCs w:val="28"/>
              </w:rPr>
            </w:pPr>
          </w:p>
        </w:tc>
        <w:tc>
          <w:tcPr>
            <w:tcW w:w="1692" w:type="dxa"/>
          </w:tcPr>
          <w:p>
            <w:pPr>
              <w:widowControl/>
              <w:jc w:val="center"/>
              <w:rPr>
                <w:rFonts w:ascii="仿宋" w:hAnsi="仿宋" w:eastAsia="仿宋" w:cs="宋体"/>
                <w:b/>
                <w:bCs/>
                <w:kern w:val="0"/>
                <w:sz w:val="28"/>
                <w:szCs w:val="28"/>
              </w:rPr>
            </w:pPr>
          </w:p>
        </w:tc>
      </w:tr>
    </w:tbl>
    <w:p>
      <w:pPr>
        <w:spacing w:line="570" w:lineRule="exact"/>
        <w:ind w:firstLine="480" w:firstLineChars="150"/>
        <w:rPr>
          <w:rFonts w:ascii="方正仿宋_GBK" w:hAnsi="宋体" w:eastAsia="方正仿宋_GBK" w:cs="宋体"/>
          <w:kern w:val="0"/>
          <w:sz w:val="32"/>
          <w:szCs w:val="32"/>
        </w:rPr>
      </w:pPr>
    </w:p>
    <w:p>
      <w:pPr>
        <w:spacing w:line="57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并郑重承诺： </w:t>
      </w:r>
    </w:p>
    <w:p>
      <w:pPr>
        <w:widowControl/>
        <w:snapToGrid w:val="0"/>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w:t>
      </w:r>
      <w:r>
        <w:rPr>
          <w:rFonts w:hint="eastAsia" w:ascii="方正仿宋_GBK" w:hAnsi="Times New Roman" w:eastAsia="方正仿宋_GBK"/>
          <w:sz w:val="32"/>
          <w:szCs w:val="32"/>
        </w:rPr>
        <w:t>对采购过程中提供的相关材料真实性负责。</w:t>
      </w:r>
    </w:p>
    <w:p>
      <w:pPr>
        <w:widowControl/>
        <w:snapToGrid w:val="0"/>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w:t>
      </w:r>
      <w:r>
        <w:rPr>
          <w:rFonts w:hint="eastAsia" w:ascii="方正仿宋_GBK" w:hAnsi="仿宋_GB2312" w:eastAsia="方正仿宋_GBK" w:cs="仿宋_GB2312"/>
          <w:sz w:val="32"/>
          <w:szCs w:val="32"/>
        </w:rPr>
        <w:t>供应的产品质量符合国家产品质量标准和有关质量要求，</w:t>
      </w:r>
      <w:r>
        <w:rPr>
          <w:rFonts w:hint="eastAsia" w:ascii="方正仿宋_GBK" w:hAnsi="宋体" w:eastAsia="方正仿宋_GBK" w:cs="宋体"/>
          <w:kern w:val="0"/>
          <w:sz w:val="32"/>
          <w:szCs w:val="32"/>
        </w:rPr>
        <w:t>确保产品安全。如供应伪劣产品造成采购方损失的，自愿赔偿一切损失，并承担相关法律责任。</w:t>
      </w:r>
    </w:p>
    <w:p>
      <w:pPr>
        <w:widowControl/>
        <w:snapToGrid w:val="0"/>
        <w:ind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三、供应产品属于国家规定“三包”范围的，其产品质量保证期不得低于“三包”规定。 </w:t>
      </w:r>
    </w:p>
    <w:p>
      <w:pPr>
        <w:widowControl/>
        <w:snapToGrid w:val="0"/>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w:t>
      </w:r>
      <w:r>
        <w:rPr>
          <w:rFonts w:hint="eastAsia" w:ascii="方正仿宋_GBK" w:hAnsi="仿宋_GB2312" w:eastAsia="方正仿宋_GBK" w:cs="仿宋_GB2312"/>
          <w:sz w:val="32"/>
          <w:szCs w:val="32"/>
        </w:rPr>
        <w:t>供应的产品</w:t>
      </w:r>
      <w:r>
        <w:rPr>
          <w:rFonts w:hint="eastAsia" w:ascii="方正仿宋_GBK" w:hAnsi="宋体" w:eastAsia="方正仿宋_GBK" w:cs="宋体"/>
          <w:kern w:val="0"/>
          <w:sz w:val="32"/>
          <w:szCs w:val="32"/>
        </w:rPr>
        <w:t xml:space="preserve">质量保证期承诺优于国家“三包”规定的，按申报企业实际承诺执行。 </w:t>
      </w:r>
    </w:p>
    <w:p>
      <w:pPr>
        <w:widowControl/>
        <w:snapToGrid w:val="0"/>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五、供应产品由产品生产企业，或其负责销售、售后服务机构负责标准售后服务的，将予以明确说明,并递交产品生产企业，或其负责销售、售后服务机构的售后服务承诺。</w:t>
      </w:r>
    </w:p>
    <w:p>
      <w:pPr>
        <w:widowControl/>
        <w:snapToGrid w:val="0"/>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六、按照采购确定的价格和采购量，供货方自采购结果公示结束后7日内与采购方签订采购合同。所签订的合同不得对采购方案中规定的内容作实质性修改。</w:t>
      </w:r>
    </w:p>
    <w:p>
      <w:pPr>
        <w:ind w:firstLine="640" w:firstLineChars="200"/>
        <w:rPr>
          <w:rFonts w:ascii="方正仿宋_GBK" w:hAnsi="仿宋_GB2312" w:eastAsia="方正仿宋_GBK" w:cs="仿宋_GB2312"/>
          <w:sz w:val="32"/>
          <w:szCs w:val="32"/>
        </w:rPr>
      </w:pPr>
      <w:r>
        <w:rPr>
          <w:rFonts w:hint="eastAsia" w:ascii="方正仿宋_GBK" w:hAnsi="宋体" w:eastAsia="方正仿宋_GBK" w:cs="宋体"/>
          <w:kern w:val="0"/>
          <w:sz w:val="32"/>
          <w:szCs w:val="32"/>
        </w:rPr>
        <w:t>七、</w:t>
      </w:r>
      <w:r>
        <w:rPr>
          <w:rFonts w:hint="eastAsia" w:ascii="方正仿宋_GBK" w:hAnsi="仿宋_GB2312" w:eastAsia="方正仿宋_GBK" w:cs="仿宋_GB2312"/>
          <w:sz w:val="32"/>
          <w:szCs w:val="32"/>
        </w:rPr>
        <w:t>按本次采购确定的产品规格、价格、质量、数量不折不扣的履行产品采购合同，根据采购订单及时、足量地向采购方供应产品。若无正当理由拖延交货，本公司愿意承担相应的违约金，并无条件同意</w:t>
      </w:r>
      <w:r>
        <w:rPr>
          <w:rFonts w:ascii="方正仿宋_GBK" w:hAnsi="仿宋_GB2312" w:eastAsia="方正仿宋_GBK" w:cs="仿宋_GB2312"/>
          <w:sz w:val="32"/>
          <w:szCs w:val="32"/>
        </w:rPr>
        <w:t>采购方</w:t>
      </w:r>
      <w:r>
        <w:rPr>
          <w:rFonts w:hint="eastAsia" w:ascii="方正仿宋_GBK" w:hAnsi="仿宋_GB2312" w:eastAsia="方正仿宋_GBK" w:cs="仿宋_GB2312"/>
          <w:sz w:val="32"/>
          <w:szCs w:val="32"/>
        </w:rPr>
        <w:t>另行</w:t>
      </w:r>
      <w:r>
        <w:rPr>
          <w:rFonts w:ascii="方正仿宋_GBK" w:hAnsi="仿宋_GB2312" w:eastAsia="方正仿宋_GBK" w:cs="仿宋_GB2312"/>
          <w:sz w:val="32"/>
          <w:szCs w:val="32"/>
        </w:rPr>
        <w:t>采购</w:t>
      </w:r>
      <w:r>
        <w:rPr>
          <w:rFonts w:hint="eastAsia" w:ascii="方正仿宋_GBK" w:hAnsi="仿宋_GB2312" w:eastAsia="方正仿宋_GBK" w:cs="仿宋_GB2312"/>
          <w:sz w:val="32"/>
          <w:szCs w:val="32"/>
        </w:rPr>
        <w:t>。</w:t>
      </w:r>
    </w:p>
    <w:p>
      <w:pPr>
        <w:ind w:firstLine="640" w:firstLineChars="200"/>
        <w:rPr>
          <w:rFonts w:ascii="方正仿宋_GBK" w:hAnsi="仿宋" w:eastAsia="方正仿宋_GBK"/>
          <w:sz w:val="32"/>
          <w:szCs w:val="32"/>
        </w:rPr>
      </w:pPr>
      <w:r>
        <w:rPr>
          <w:rFonts w:hint="eastAsia" w:ascii="方正仿宋_GBK" w:hAnsi="仿宋_GB2312" w:eastAsia="方正仿宋_GBK" w:cs="仿宋_GB2312"/>
          <w:sz w:val="32"/>
          <w:szCs w:val="32"/>
        </w:rPr>
        <w:t>八、</w:t>
      </w:r>
      <w:r>
        <w:rPr>
          <w:rFonts w:hint="eastAsia" w:ascii="方正仿宋_GBK" w:hAnsi="仿宋" w:eastAsia="方正仿宋_GBK"/>
          <w:sz w:val="32"/>
          <w:szCs w:val="32"/>
        </w:rPr>
        <w:t>按照规定数额和期限，自愿缴纳产品申报保证金，若出现违约行为，愿意承担相应责任。</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九、若成为供货企业，自愿在规定时间缴纳相应的采购服务费用。</w:t>
      </w:r>
    </w:p>
    <w:p>
      <w:pPr>
        <w:ind w:firstLine="640" w:firstLineChars="200"/>
        <w:rPr>
          <w:rFonts w:ascii="方正仿宋_GBK" w:hAnsi="仿宋" w:eastAsia="方正仿宋_GBK"/>
          <w:sz w:val="32"/>
          <w:szCs w:val="32"/>
        </w:rPr>
      </w:pPr>
      <w:r>
        <w:rPr>
          <w:rFonts w:hint="eastAsia" w:ascii="方正仿宋_GBK" w:hAnsi="宋体" w:eastAsia="方正仿宋_GBK" w:cs="宋体"/>
          <w:kern w:val="0"/>
          <w:sz w:val="32"/>
          <w:szCs w:val="32"/>
        </w:rPr>
        <w:t>若违反上述承诺，本企业及相关责任人愿意按照有关规定接受相应的处罚，并承担由此导致的全部法律责任。</w:t>
      </w:r>
    </w:p>
    <w:p>
      <w:pPr>
        <w:widowControl/>
        <w:snapToGrid w:val="0"/>
        <w:ind w:firstLine="640" w:firstLineChars="200"/>
        <w:rPr>
          <w:rFonts w:ascii="方正仿宋_GBK" w:hAnsi="宋体" w:eastAsia="方正仿宋_GBK" w:cs="宋体"/>
          <w:kern w:val="0"/>
          <w:sz w:val="32"/>
          <w:szCs w:val="32"/>
        </w:rPr>
      </w:pPr>
    </w:p>
    <w:p>
      <w:pPr>
        <w:widowControl/>
        <w:jc w:val="left"/>
      </w:pPr>
    </w:p>
    <w:p>
      <w:pPr>
        <w:widowControl/>
        <w:jc w:val="left"/>
      </w:pPr>
    </w:p>
    <w:p>
      <w:pPr>
        <w:snapToGrid w:val="0"/>
        <w:ind w:right="15" w:firstLine="5280" w:firstLineChars="165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供应企业（盖章）：                        </w:t>
      </w:r>
    </w:p>
    <w:p>
      <w:pPr>
        <w:ind w:firstLine="4480" w:firstLineChars="1400"/>
        <w:rPr>
          <w:rFonts w:ascii="方正仿宋_GBK" w:hAnsi="仿宋_GB2312" w:eastAsia="方正仿宋_GBK" w:cs="仿宋_GB2312"/>
          <w:sz w:val="32"/>
          <w:szCs w:val="32"/>
        </w:rPr>
      </w:pPr>
    </w:p>
    <w:p>
      <w:pPr>
        <w:ind w:firstLine="3360"/>
        <w:rPr>
          <w:rFonts w:ascii="方正仿宋_GBK" w:hAnsi="宋体" w:eastAsia="方正仿宋_GBK" w:cs="宋体"/>
          <w:color w:val="333333"/>
          <w:kern w:val="0"/>
          <w:sz w:val="32"/>
          <w:szCs w:val="32"/>
        </w:rPr>
      </w:pPr>
      <w:r>
        <w:rPr>
          <w:rFonts w:hint="eastAsia" w:ascii="方正仿宋_GBK" w:hAnsi="仿宋_GB2312" w:eastAsia="方正仿宋_GBK" w:cs="仿宋_GB2312"/>
          <w:sz w:val="32"/>
          <w:szCs w:val="32"/>
        </w:rPr>
        <w:t xml:space="preserve">         日期：   年    月   日</w:t>
      </w:r>
    </w:p>
    <w:p>
      <w:pPr>
        <w:widowControl/>
        <w:snapToGrid w:val="0"/>
        <w:ind w:firstLine="600" w:firstLineChars="200"/>
        <w:rPr>
          <w:rFonts w:ascii="仿宋_GB2312" w:hAnsi="宋体" w:eastAsia="仿宋_GB2312" w:cs="宋体"/>
          <w:kern w:val="0"/>
          <w:sz w:val="30"/>
          <w:szCs w:val="30"/>
        </w:rPr>
      </w:pPr>
    </w:p>
    <w:p>
      <w:pPr>
        <w:rPr>
          <w:rFonts w:ascii="方正仿宋_GBK" w:eastAsia="方正仿宋_GBK"/>
          <w:b/>
          <w:sz w:val="32"/>
          <w:szCs w:val="32"/>
        </w:rPr>
      </w:pPr>
    </w:p>
    <w:p>
      <w:pPr>
        <w:widowControl/>
        <w:jc w:val="left"/>
        <w:rPr>
          <w:rFonts w:ascii="方正仿宋_GBK" w:eastAsia="方正仿宋_GBK"/>
          <w:b/>
          <w:sz w:val="32"/>
          <w:szCs w:val="32"/>
        </w:rPr>
      </w:pPr>
    </w:p>
    <w:p>
      <w:pPr>
        <w:widowControl/>
        <w:jc w:val="left"/>
      </w:pPr>
    </w:p>
    <w:p>
      <w:pPr>
        <w:rPr>
          <w:rFonts w:ascii="方正黑体_GBK" w:eastAsia="方正黑体_GBK"/>
          <w:sz w:val="32"/>
          <w:szCs w:val="32"/>
        </w:rPr>
      </w:pPr>
      <w:r>
        <w:rPr>
          <w:rFonts w:hint="eastAsia" w:ascii="方正黑体_GBK" w:eastAsia="方正黑体_GBK"/>
          <w:sz w:val="32"/>
          <w:szCs w:val="32"/>
        </w:rPr>
        <w:t>附件5</w:t>
      </w:r>
    </w:p>
    <w:p>
      <w:pPr>
        <w:ind w:firstLine="3450" w:firstLineChars="1150"/>
      </w:pPr>
      <w:r>
        <w:rPr>
          <w:rFonts w:hint="eastAsia" w:ascii="黑体" w:hAnsi="宋体" w:eastAsia="黑体"/>
          <w:sz w:val="30"/>
          <w:szCs w:val="30"/>
        </w:rPr>
        <w:t>采购流程图</w:t>
      </w:r>
    </w:p>
    <w:p>
      <w:pPr>
        <w:jc w:val="center"/>
        <w:rPr>
          <w:rFonts w:ascii="黑体" w:hAnsi="宋体" w:eastAsia="黑体"/>
          <w:sz w:val="30"/>
          <w:szCs w:val="30"/>
        </w:rPr>
      </w:pPr>
      <w:r>
        <w:object>
          <v:shape id="_x0000_i1025" o:spt="75" type="#_x0000_t75" style="height:558pt;width:423.7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4F"/>
    <w:rsid w:val="000014B6"/>
    <w:rsid w:val="00004EFF"/>
    <w:rsid w:val="00015A62"/>
    <w:rsid w:val="00021456"/>
    <w:rsid w:val="00023FCC"/>
    <w:rsid w:val="000325EB"/>
    <w:rsid w:val="00036E7F"/>
    <w:rsid w:val="00037B3C"/>
    <w:rsid w:val="00042C11"/>
    <w:rsid w:val="000452BE"/>
    <w:rsid w:val="00052B3A"/>
    <w:rsid w:val="00057511"/>
    <w:rsid w:val="00072F42"/>
    <w:rsid w:val="00077548"/>
    <w:rsid w:val="0008216A"/>
    <w:rsid w:val="00090C3F"/>
    <w:rsid w:val="000968DF"/>
    <w:rsid w:val="00097ABB"/>
    <w:rsid w:val="000A0E18"/>
    <w:rsid w:val="000B2070"/>
    <w:rsid w:val="000C2FBA"/>
    <w:rsid w:val="000D372E"/>
    <w:rsid w:val="000D4692"/>
    <w:rsid w:val="000D5291"/>
    <w:rsid w:val="000D5AAC"/>
    <w:rsid w:val="000D7274"/>
    <w:rsid w:val="000E1D37"/>
    <w:rsid w:val="000F32A5"/>
    <w:rsid w:val="000F52C2"/>
    <w:rsid w:val="00101723"/>
    <w:rsid w:val="00105D9D"/>
    <w:rsid w:val="00106063"/>
    <w:rsid w:val="00120D23"/>
    <w:rsid w:val="0012129B"/>
    <w:rsid w:val="00123CA7"/>
    <w:rsid w:val="001270C3"/>
    <w:rsid w:val="00127B91"/>
    <w:rsid w:val="001347F0"/>
    <w:rsid w:val="00141D48"/>
    <w:rsid w:val="00156D8C"/>
    <w:rsid w:val="0016255C"/>
    <w:rsid w:val="00162C4A"/>
    <w:rsid w:val="00163AC2"/>
    <w:rsid w:val="00165F3E"/>
    <w:rsid w:val="00166D6D"/>
    <w:rsid w:val="001813FA"/>
    <w:rsid w:val="00190F82"/>
    <w:rsid w:val="00193B51"/>
    <w:rsid w:val="001A443E"/>
    <w:rsid w:val="001A5D3A"/>
    <w:rsid w:val="001B5CC1"/>
    <w:rsid w:val="001C7BD8"/>
    <w:rsid w:val="001D0F5E"/>
    <w:rsid w:val="001D1DA2"/>
    <w:rsid w:val="001D65F5"/>
    <w:rsid w:val="001D6859"/>
    <w:rsid w:val="001D6D4A"/>
    <w:rsid w:val="001E0FC4"/>
    <w:rsid w:val="001E7170"/>
    <w:rsid w:val="001F2122"/>
    <w:rsid w:val="001F441E"/>
    <w:rsid w:val="001F588B"/>
    <w:rsid w:val="002002D1"/>
    <w:rsid w:val="00202BD1"/>
    <w:rsid w:val="0020532A"/>
    <w:rsid w:val="00222389"/>
    <w:rsid w:val="00224CF3"/>
    <w:rsid w:val="002270DC"/>
    <w:rsid w:val="00227125"/>
    <w:rsid w:val="002305F2"/>
    <w:rsid w:val="00231F2D"/>
    <w:rsid w:val="00233268"/>
    <w:rsid w:val="00236220"/>
    <w:rsid w:val="00240748"/>
    <w:rsid w:val="00242D8D"/>
    <w:rsid w:val="00271B3A"/>
    <w:rsid w:val="002767EA"/>
    <w:rsid w:val="00276833"/>
    <w:rsid w:val="00280DFE"/>
    <w:rsid w:val="00281D87"/>
    <w:rsid w:val="002823EF"/>
    <w:rsid w:val="002840B2"/>
    <w:rsid w:val="00287B9D"/>
    <w:rsid w:val="0029660D"/>
    <w:rsid w:val="002A049B"/>
    <w:rsid w:val="002A2987"/>
    <w:rsid w:val="002A5ABE"/>
    <w:rsid w:val="002A6242"/>
    <w:rsid w:val="002A6DF9"/>
    <w:rsid w:val="002B7444"/>
    <w:rsid w:val="002F0988"/>
    <w:rsid w:val="002F43E2"/>
    <w:rsid w:val="002F6BA6"/>
    <w:rsid w:val="002F7697"/>
    <w:rsid w:val="003038C7"/>
    <w:rsid w:val="003049EB"/>
    <w:rsid w:val="00304D05"/>
    <w:rsid w:val="00311059"/>
    <w:rsid w:val="0031512B"/>
    <w:rsid w:val="00316C95"/>
    <w:rsid w:val="00321778"/>
    <w:rsid w:val="00324C72"/>
    <w:rsid w:val="0033390A"/>
    <w:rsid w:val="00333FD0"/>
    <w:rsid w:val="00337FFD"/>
    <w:rsid w:val="00340518"/>
    <w:rsid w:val="00341634"/>
    <w:rsid w:val="00350415"/>
    <w:rsid w:val="0035386E"/>
    <w:rsid w:val="003545B3"/>
    <w:rsid w:val="003627B1"/>
    <w:rsid w:val="00381727"/>
    <w:rsid w:val="00382A0E"/>
    <w:rsid w:val="003854CD"/>
    <w:rsid w:val="0039141D"/>
    <w:rsid w:val="00395116"/>
    <w:rsid w:val="003975C5"/>
    <w:rsid w:val="00397F0A"/>
    <w:rsid w:val="003A343D"/>
    <w:rsid w:val="003A6158"/>
    <w:rsid w:val="003B0890"/>
    <w:rsid w:val="003B2510"/>
    <w:rsid w:val="003B7150"/>
    <w:rsid w:val="003C1187"/>
    <w:rsid w:val="003C5A17"/>
    <w:rsid w:val="003C5B7B"/>
    <w:rsid w:val="003C6E06"/>
    <w:rsid w:val="003D0F43"/>
    <w:rsid w:val="003D23CA"/>
    <w:rsid w:val="003D5D68"/>
    <w:rsid w:val="003D6A69"/>
    <w:rsid w:val="003E2C9E"/>
    <w:rsid w:val="003E6921"/>
    <w:rsid w:val="003F0299"/>
    <w:rsid w:val="003F77FE"/>
    <w:rsid w:val="003F7C1C"/>
    <w:rsid w:val="00413F6F"/>
    <w:rsid w:val="00414201"/>
    <w:rsid w:val="00414411"/>
    <w:rsid w:val="004216B4"/>
    <w:rsid w:val="00437521"/>
    <w:rsid w:val="00437C0D"/>
    <w:rsid w:val="00442EFE"/>
    <w:rsid w:val="00443403"/>
    <w:rsid w:val="00444C3B"/>
    <w:rsid w:val="004460E6"/>
    <w:rsid w:val="00446102"/>
    <w:rsid w:val="00451459"/>
    <w:rsid w:val="00456C6F"/>
    <w:rsid w:val="00457608"/>
    <w:rsid w:val="00464939"/>
    <w:rsid w:val="0046749F"/>
    <w:rsid w:val="0047357E"/>
    <w:rsid w:val="0047419F"/>
    <w:rsid w:val="0048019E"/>
    <w:rsid w:val="00483098"/>
    <w:rsid w:val="004848E9"/>
    <w:rsid w:val="00496551"/>
    <w:rsid w:val="0049714F"/>
    <w:rsid w:val="004B0614"/>
    <w:rsid w:val="004C4164"/>
    <w:rsid w:val="004C4E67"/>
    <w:rsid w:val="004C4EA8"/>
    <w:rsid w:val="004C7040"/>
    <w:rsid w:val="004D6BB8"/>
    <w:rsid w:val="004E1076"/>
    <w:rsid w:val="004F7F4B"/>
    <w:rsid w:val="0050325A"/>
    <w:rsid w:val="00515CD2"/>
    <w:rsid w:val="00517715"/>
    <w:rsid w:val="0052419D"/>
    <w:rsid w:val="005272CC"/>
    <w:rsid w:val="00527CFC"/>
    <w:rsid w:val="00542753"/>
    <w:rsid w:val="005434D3"/>
    <w:rsid w:val="005547EE"/>
    <w:rsid w:val="005575A1"/>
    <w:rsid w:val="00560920"/>
    <w:rsid w:val="00565448"/>
    <w:rsid w:val="00567A61"/>
    <w:rsid w:val="00570522"/>
    <w:rsid w:val="005838F9"/>
    <w:rsid w:val="00590B2D"/>
    <w:rsid w:val="005918AB"/>
    <w:rsid w:val="00593246"/>
    <w:rsid w:val="00597B49"/>
    <w:rsid w:val="005A0936"/>
    <w:rsid w:val="005A1323"/>
    <w:rsid w:val="005A4CDB"/>
    <w:rsid w:val="005A5D36"/>
    <w:rsid w:val="005A63E3"/>
    <w:rsid w:val="005C0100"/>
    <w:rsid w:val="005C71BA"/>
    <w:rsid w:val="005D2F7B"/>
    <w:rsid w:val="005D3F32"/>
    <w:rsid w:val="005D422A"/>
    <w:rsid w:val="005E4D61"/>
    <w:rsid w:val="005F323F"/>
    <w:rsid w:val="005F5B55"/>
    <w:rsid w:val="00607A93"/>
    <w:rsid w:val="00620BFE"/>
    <w:rsid w:val="00622D89"/>
    <w:rsid w:val="00624536"/>
    <w:rsid w:val="0062713D"/>
    <w:rsid w:val="00630C67"/>
    <w:rsid w:val="006376E0"/>
    <w:rsid w:val="00641729"/>
    <w:rsid w:val="00645534"/>
    <w:rsid w:val="00646C93"/>
    <w:rsid w:val="006529C6"/>
    <w:rsid w:val="00654BA1"/>
    <w:rsid w:val="00654CBC"/>
    <w:rsid w:val="00654F02"/>
    <w:rsid w:val="0065651D"/>
    <w:rsid w:val="00657F68"/>
    <w:rsid w:val="006675D9"/>
    <w:rsid w:val="006705FF"/>
    <w:rsid w:val="00672362"/>
    <w:rsid w:val="00675F00"/>
    <w:rsid w:val="00676C4F"/>
    <w:rsid w:val="006927BF"/>
    <w:rsid w:val="006A0946"/>
    <w:rsid w:val="006B11DC"/>
    <w:rsid w:val="006B2600"/>
    <w:rsid w:val="006C1B80"/>
    <w:rsid w:val="006D1363"/>
    <w:rsid w:val="006D55DB"/>
    <w:rsid w:val="006D576B"/>
    <w:rsid w:val="006E0946"/>
    <w:rsid w:val="006E5502"/>
    <w:rsid w:val="00700618"/>
    <w:rsid w:val="00704549"/>
    <w:rsid w:val="0070513F"/>
    <w:rsid w:val="00705975"/>
    <w:rsid w:val="00710AE7"/>
    <w:rsid w:val="00712D96"/>
    <w:rsid w:val="007143AC"/>
    <w:rsid w:val="00721911"/>
    <w:rsid w:val="00724EA5"/>
    <w:rsid w:val="00731FC4"/>
    <w:rsid w:val="0073514A"/>
    <w:rsid w:val="00735C3E"/>
    <w:rsid w:val="0073736E"/>
    <w:rsid w:val="007506AF"/>
    <w:rsid w:val="00750E69"/>
    <w:rsid w:val="00752557"/>
    <w:rsid w:val="00753402"/>
    <w:rsid w:val="0075604F"/>
    <w:rsid w:val="00757651"/>
    <w:rsid w:val="00762BA4"/>
    <w:rsid w:val="0077002E"/>
    <w:rsid w:val="0077749A"/>
    <w:rsid w:val="0078776A"/>
    <w:rsid w:val="00791413"/>
    <w:rsid w:val="00794609"/>
    <w:rsid w:val="00794FE9"/>
    <w:rsid w:val="0079583C"/>
    <w:rsid w:val="0079723B"/>
    <w:rsid w:val="007975A7"/>
    <w:rsid w:val="00797D3C"/>
    <w:rsid w:val="007B7B3E"/>
    <w:rsid w:val="007D1478"/>
    <w:rsid w:val="007D3460"/>
    <w:rsid w:val="007E1FA7"/>
    <w:rsid w:val="007E723B"/>
    <w:rsid w:val="007F09F1"/>
    <w:rsid w:val="007F348D"/>
    <w:rsid w:val="007F5802"/>
    <w:rsid w:val="007F5CD0"/>
    <w:rsid w:val="00805855"/>
    <w:rsid w:val="00805ACE"/>
    <w:rsid w:val="0080766B"/>
    <w:rsid w:val="00810684"/>
    <w:rsid w:val="0081298E"/>
    <w:rsid w:val="00815190"/>
    <w:rsid w:val="00817C34"/>
    <w:rsid w:val="00830CEE"/>
    <w:rsid w:val="00831FFB"/>
    <w:rsid w:val="00834C0B"/>
    <w:rsid w:val="00835ADF"/>
    <w:rsid w:val="00836C62"/>
    <w:rsid w:val="00837A4C"/>
    <w:rsid w:val="00845103"/>
    <w:rsid w:val="00846CB8"/>
    <w:rsid w:val="00850AB1"/>
    <w:rsid w:val="00853ED8"/>
    <w:rsid w:val="008554D2"/>
    <w:rsid w:val="0087116B"/>
    <w:rsid w:val="00873CFE"/>
    <w:rsid w:val="00890E1F"/>
    <w:rsid w:val="00891BA1"/>
    <w:rsid w:val="00891BA5"/>
    <w:rsid w:val="00896644"/>
    <w:rsid w:val="00897D29"/>
    <w:rsid w:val="008A079C"/>
    <w:rsid w:val="008A73E7"/>
    <w:rsid w:val="008B1F2A"/>
    <w:rsid w:val="008B560E"/>
    <w:rsid w:val="008C0080"/>
    <w:rsid w:val="008C07EE"/>
    <w:rsid w:val="008C2841"/>
    <w:rsid w:val="008C414F"/>
    <w:rsid w:val="008C6273"/>
    <w:rsid w:val="008D7724"/>
    <w:rsid w:val="008E389A"/>
    <w:rsid w:val="008E77B6"/>
    <w:rsid w:val="008F631A"/>
    <w:rsid w:val="0091063D"/>
    <w:rsid w:val="009156E9"/>
    <w:rsid w:val="00924F09"/>
    <w:rsid w:val="00931B8E"/>
    <w:rsid w:val="00934DEA"/>
    <w:rsid w:val="0093703C"/>
    <w:rsid w:val="009427D0"/>
    <w:rsid w:val="009468F0"/>
    <w:rsid w:val="00960167"/>
    <w:rsid w:val="00961719"/>
    <w:rsid w:val="009657DA"/>
    <w:rsid w:val="0096701D"/>
    <w:rsid w:val="00972887"/>
    <w:rsid w:val="00976D97"/>
    <w:rsid w:val="00977E3C"/>
    <w:rsid w:val="00981C34"/>
    <w:rsid w:val="0098384A"/>
    <w:rsid w:val="009A1A56"/>
    <w:rsid w:val="009A2F2A"/>
    <w:rsid w:val="009B1902"/>
    <w:rsid w:val="009B4432"/>
    <w:rsid w:val="009B70C9"/>
    <w:rsid w:val="009C1004"/>
    <w:rsid w:val="009C3B62"/>
    <w:rsid w:val="009D4F2A"/>
    <w:rsid w:val="009E6E95"/>
    <w:rsid w:val="009E78A3"/>
    <w:rsid w:val="00A0159A"/>
    <w:rsid w:val="00A01AF6"/>
    <w:rsid w:val="00A20DFA"/>
    <w:rsid w:val="00A30067"/>
    <w:rsid w:val="00A36EAE"/>
    <w:rsid w:val="00A461BD"/>
    <w:rsid w:val="00A501CD"/>
    <w:rsid w:val="00A509A8"/>
    <w:rsid w:val="00A520DB"/>
    <w:rsid w:val="00A64FE4"/>
    <w:rsid w:val="00A66886"/>
    <w:rsid w:val="00A77941"/>
    <w:rsid w:val="00A840A3"/>
    <w:rsid w:val="00A85570"/>
    <w:rsid w:val="00A86D71"/>
    <w:rsid w:val="00A956B3"/>
    <w:rsid w:val="00AA08E2"/>
    <w:rsid w:val="00AA2F41"/>
    <w:rsid w:val="00AB60FF"/>
    <w:rsid w:val="00AB6C1B"/>
    <w:rsid w:val="00AC6F87"/>
    <w:rsid w:val="00AD34AB"/>
    <w:rsid w:val="00AE1319"/>
    <w:rsid w:val="00B06720"/>
    <w:rsid w:val="00B10B65"/>
    <w:rsid w:val="00B13D85"/>
    <w:rsid w:val="00B278BF"/>
    <w:rsid w:val="00B349E5"/>
    <w:rsid w:val="00B4420F"/>
    <w:rsid w:val="00B45584"/>
    <w:rsid w:val="00B477B0"/>
    <w:rsid w:val="00B47B9F"/>
    <w:rsid w:val="00B503A7"/>
    <w:rsid w:val="00B51391"/>
    <w:rsid w:val="00B554E5"/>
    <w:rsid w:val="00B62642"/>
    <w:rsid w:val="00B62B20"/>
    <w:rsid w:val="00B63A6A"/>
    <w:rsid w:val="00B71DBB"/>
    <w:rsid w:val="00B75BF2"/>
    <w:rsid w:val="00B81F59"/>
    <w:rsid w:val="00B849A3"/>
    <w:rsid w:val="00B87E90"/>
    <w:rsid w:val="00B90D36"/>
    <w:rsid w:val="00B94BD3"/>
    <w:rsid w:val="00BA2499"/>
    <w:rsid w:val="00BA5DB4"/>
    <w:rsid w:val="00BB0206"/>
    <w:rsid w:val="00BB04A4"/>
    <w:rsid w:val="00BB7715"/>
    <w:rsid w:val="00BC005E"/>
    <w:rsid w:val="00BC7481"/>
    <w:rsid w:val="00BD1EFE"/>
    <w:rsid w:val="00BE04B3"/>
    <w:rsid w:val="00BE411E"/>
    <w:rsid w:val="00C01EE1"/>
    <w:rsid w:val="00C02765"/>
    <w:rsid w:val="00C03F4F"/>
    <w:rsid w:val="00C15748"/>
    <w:rsid w:val="00C23126"/>
    <w:rsid w:val="00C25E6B"/>
    <w:rsid w:val="00C2756A"/>
    <w:rsid w:val="00C34AE3"/>
    <w:rsid w:val="00C36D42"/>
    <w:rsid w:val="00C408FB"/>
    <w:rsid w:val="00C469F1"/>
    <w:rsid w:val="00C536D7"/>
    <w:rsid w:val="00C678E7"/>
    <w:rsid w:val="00C74919"/>
    <w:rsid w:val="00C81F9F"/>
    <w:rsid w:val="00C8294D"/>
    <w:rsid w:val="00C92DCC"/>
    <w:rsid w:val="00C97B48"/>
    <w:rsid w:val="00CB2794"/>
    <w:rsid w:val="00CB39F8"/>
    <w:rsid w:val="00CB7855"/>
    <w:rsid w:val="00CC23E0"/>
    <w:rsid w:val="00CC407D"/>
    <w:rsid w:val="00CC6127"/>
    <w:rsid w:val="00CD1912"/>
    <w:rsid w:val="00CD43B2"/>
    <w:rsid w:val="00CD47A1"/>
    <w:rsid w:val="00CD4AEF"/>
    <w:rsid w:val="00CF3CEE"/>
    <w:rsid w:val="00CF549F"/>
    <w:rsid w:val="00D01CEC"/>
    <w:rsid w:val="00D20858"/>
    <w:rsid w:val="00D211E2"/>
    <w:rsid w:val="00D34156"/>
    <w:rsid w:val="00D368C5"/>
    <w:rsid w:val="00D37CD5"/>
    <w:rsid w:val="00D42E68"/>
    <w:rsid w:val="00D479CE"/>
    <w:rsid w:val="00D570F6"/>
    <w:rsid w:val="00D6186E"/>
    <w:rsid w:val="00D63EE4"/>
    <w:rsid w:val="00D71F3B"/>
    <w:rsid w:val="00D76D43"/>
    <w:rsid w:val="00D93103"/>
    <w:rsid w:val="00D94372"/>
    <w:rsid w:val="00D97861"/>
    <w:rsid w:val="00DA0803"/>
    <w:rsid w:val="00DC5857"/>
    <w:rsid w:val="00DE12C3"/>
    <w:rsid w:val="00DE6E3D"/>
    <w:rsid w:val="00DF08A2"/>
    <w:rsid w:val="00DF0B32"/>
    <w:rsid w:val="00E00C17"/>
    <w:rsid w:val="00E0405F"/>
    <w:rsid w:val="00E330D0"/>
    <w:rsid w:val="00E3359D"/>
    <w:rsid w:val="00E523D3"/>
    <w:rsid w:val="00E70CAD"/>
    <w:rsid w:val="00E71051"/>
    <w:rsid w:val="00E74B88"/>
    <w:rsid w:val="00E9538A"/>
    <w:rsid w:val="00E974D6"/>
    <w:rsid w:val="00EA6A8C"/>
    <w:rsid w:val="00EA7AD1"/>
    <w:rsid w:val="00EC2F70"/>
    <w:rsid w:val="00EC3EBB"/>
    <w:rsid w:val="00EC5520"/>
    <w:rsid w:val="00ED7CB6"/>
    <w:rsid w:val="00EE012F"/>
    <w:rsid w:val="00EE035F"/>
    <w:rsid w:val="00EE311E"/>
    <w:rsid w:val="00EF562C"/>
    <w:rsid w:val="00EF5F8E"/>
    <w:rsid w:val="00EF68CF"/>
    <w:rsid w:val="00F026E5"/>
    <w:rsid w:val="00F05B76"/>
    <w:rsid w:val="00F07A6F"/>
    <w:rsid w:val="00F07F88"/>
    <w:rsid w:val="00F12BA5"/>
    <w:rsid w:val="00F24EB6"/>
    <w:rsid w:val="00F26152"/>
    <w:rsid w:val="00F32086"/>
    <w:rsid w:val="00F33323"/>
    <w:rsid w:val="00F36804"/>
    <w:rsid w:val="00F375C6"/>
    <w:rsid w:val="00F375FA"/>
    <w:rsid w:val="00F377B8"/>
    <w:rsid w:val="00F41219"/>
    <w:rsid w:val="00F41303"/>
    <w:rsid w:val="00F43BBA"/>
    <w:rsid w:val="00F471F7"/>
    <w:rsid w:val="00F5364A"/>
    <w:rsid w:val="00F54A67"/>
    <w:rsid w:val="00F5530C"/>
    <w:rsid w:val="00F570DD"/>
    <w:rsid w:val="00F574A8"/>
    <w:rsid w:val="00F575B3"/>
    <w:rsid w:val="00F630FA"/>
    <w:rsid w:val="00F7010F"/>
    <w:rsid w:val="00F7489E"/>
    <w:rsid w:val="00F839DC"/>
    <w:rsid w:val="00F87C5D"/>
    <w:rsid w:val="00F933E7"/>
    <w:rsid w:val="00F93745"/>
    <w:rsid w:val="00F96217"/>
    <w:rsid w:val="00FB672F"/>
    <w:rsid w:val="00FB7A3C"/>
    <w:rsid w:val="00FC1EB5"/>
    <w:rsid w:val="00FC75DC"/>
    <w:rsid w:val="00FD1518"/>
    <w:rsid w:val="00FD1BD3"/>
    <w:rsid w:val="00FD1EDE"/>
    <w:rsid w:val="00FE32DA"/>
    <w:rsid w:val="00FF1101"/>
    <w:rsid w:val="016C3019"/>
    <w:rsid w:val="01A7723B"/>
    <w:rsid w:val="025F1436"/>
    <w:rsid w:val="02646BF9"/>
    <w:rsid w:val="02DA3239"/>
    <w:rsid w:val="03714BE7"/>
    <w:rsid w:val="037D04E3"/>
    <w:rsid w:val="05AF0BFA"/>
    <w:rsid w:val="06637171"/>
    <w:rsid w:val="08D93951"/>
    <w:rsid w:val="09686D29"/>
    <w:rsid w:val="0994202E"/>
    <w:rsid w:val="0A2A3326"/>
    <w:rsid w:val="0A2A3B88"/>
    <w:rsid w:val="0BA86A93"/>
    <w:rsid w:val="0C66429D"/>
    <w:rsid w:val="0D141EBB"/>
    <w:rsid w:val="0E770A32"/>
    <w:rsid w:val="0E7A6530"/>
    <w:rsid w:val="0E870F11"/>
    <w:rsid w:val="0EC274B4"/>
    <w:rsid w:val="0F9B4130"/>
    <w:rsid w:val="100F43D6"/>
    <w:rsid w:val="104F4EAC"/>
    <w:rsid w:val="12564708"/>
    <w:rsid w:val="12B156FD"/>
    <w:rsid w:val="12C2578D"/>
    <w:rsid w:val="13B24A86"/>
    <w:rsid w:val="14873DDD"/>
    <w:rsid w:val="15BF67E4"/>
    <w:rsid w:val="1767134F"/>
    <w:rsid w:val="17F1570D"/>
    <w:rsid w:val="183E391D"/>
    <w:rsid w:val="184561F4"/>
    <w:rsid w:val="189032E7"/>
    <w:rsid w:val="198C1405"/>
    <w:rsid w:val="1CA717A4"/>
    <w:rsid w:val="1DA17AEC"/>
    <w:rsid w:val="1DAD2C69"/>
    <w:rsid w:val="20146779"/>
    <w:rsid w:val="20596118"/>
    <w:rsid w:val="206A2A87"/>
    <w:rsid w:val="20860297"/>
    <w:rsid w:val="208B7473"/>
    <w:rsid w:val="208E3D6D"/>
    <w:rsid w:val="212F374B"/>
    <w:rsid w:val="233F5FE0"/>
    <w:rsid w:val="240E5F1A"/>
    <w:rsid w:val="25E72C5D"/>
    <w:rsid w:val="26D007EF"/>
    <w:rsid w:val="27582F3C"/>
    <w:rsid w:val="28C271CC"/>
    <w:rsid w:val="28C90428"/>
    <w:rsid w:val="292A1622"/>
    <w:rsid w:val="299E24B0"/>
    <w:rsid w:val="2A42673D"/>
    <w:rsid w:val="2A5A593C"/>
    <w:rsid w:val="2BE1551C"/>
    <w:rsid w:val="2C4242FA"/>
    <w:rsid w:val="2D476BD0"/>
    <w:rsid w:val="2DF32403"/>
    <w:rsid w:val="2E8C1C09"/>
    <w:rsid w:val="2F776A7D"/>
    <w:rsid w:val="30937FA1"/>
    <w:rsid w:val="317A316B"/>
    <w:rsid w:val="32BA051E"/>
    <w:rsid w:val="32BB5B34"/>
    <w:rsid w:val="34D33957"/>
    <w:rsid w:val="353743E6"/>
    <w:rsid w:val="35C2019A"/>
    <w:rsid w:val="36C5338F"/>
    <w:rsid w:val="37080AAA"/>
    <w:rsid w:val="38CD3CC1"/>
    <w:rsid w:val="38F030DF"/>
    <w:rsid w:val="395514E3"/>
    <w:rsid w:val="39A43B70"/>
    <w:rsid w:val="39E02A19"/>
    <w:rsid w:val="3AC05D43"/>
    <w:rsid w:val="3AEA18BC"/>
    <w:rsid w:val="3C8A4FFF"/>
    <w:rsid w:val="3D0A2E4E"/>
    <w:rsid w:val="3D6E62B1"/>
    <w:rsid w:val="3D9B47C1"/>
    <w:rsid w:val="3E20454D"/>
    <w:rsid w:val="3F692C29"/>
    <w:rsid w:val="3FC40C43"/>
    <w:rsid w:val="3FCB1919"/>
    <w:rsid w:val="40AA1023"/>
    <w:rsid w:val="40BE0E51"/>
    <w:rsid w:val="41376B4C"/>
    <w:rsid w:val="417D51C2"/>
    <w:rsid w:val="41873407"/>
    <w:rsid w:val="425F2DFE"/>
    <w:rsid w:val="43352B9F"/>
    <w:rsid w:val="43AA2E0B"/>
    <w:rsid w:val="4488687E"/>
    <w:rsid w:val="45D92A58"/>
    <w:rsid w:val="468830DA"/>
    <w:rsid w:val="46A374AF"/>
    <w:rsid w:val="46A46E79"/>
    <w:rsid w:val="4878205A"/>
    <w:rsid w:val="48D46031"/>
    <w:rsid w:val="49D17006"/>
    <w:rsid w:val="4A6E1A0C"/>
    <w:rsid w:val="4ABD2B41"/>
    <w:rsid w:val="4B542283"/>
    <w:rsid w:val="4B7A2736"/>
    <w:rsid w:val="4C0C078E"/>
    <w:rsid w:val="4CB64585"/>
    <w:rsid w:val="4D1620E1"/>
    <w:rsid w:val="4DA54A95"/>
    <w:rsid w:val="4E630F3A"/>
    <w:rsid w:val="4FAD7A05"/>
    <w:rsid w:val="518C619C"/>
    <w:rsid w:val="522A23E0"/>
    <w:rsid w:val="52683920"/>
    <w:rsid w:val="526960D6"/>
    <w:rsid w:val="53321D71"/>
    <w:rsid w:val="53405BD5"/>
    <w:rsid w:val="5405654F"/>
    <w:rsid w:val="553D6A73"/>
    <w:rsid w:val="575E70EA"/>
    <w:rsid w:val="58403BBB"/>
    <w:rsid w:val="596F5513"/>
    <w:rsid w:val="59C03F09"/>
    <w:rsid w:val="5A0A2891"/>
    <w:rsid w:val="5B1D209B"/>
    <w:rsid w:val="5B87628F"/>
    <w:rsid w:val="5BC83678"/>
    <w:rsid w:val="5C120790"/>
    <w:rsid w:val="5C40663F"/>
    <w:rsid w:val="5C7E7F5D"/>
    <w:rsid w:val="5CD067BE"/>
    <w:rsid w:val="5D2D1047"/>
    <w:rsid w:val="5ECB625C"/>
    <w:rsid w:val="5F7647E0"/>
    <w:rsid w:val="60EA32A3"/>
    <w:rsid w:val="6150656D"/>
    <w:rsid w:val="61CF4C8E"/>
    <w:rsid w:val="62477B66"/>
    <w:rsid w:val="647B3DD2"/>
    <w:rsid w:val="65283A39"/>
    <w:rsid w:val="65B06954"/>
    <w:rsid w:val="66633EE5"/>
    <w:rsid w:val="66917EF4"/>
    <w:rsid w:val="66C54BA9"/>
    <w:rsid w:val="69216DBA"/>
    <w:rsid w:val="69C20C1F"/>
    <w:rsid w:val="6A945B9F"/>
    <w:rsid w:val="6C1918C6"/>
    <w:rsid w:val="6C9B78C8"/>
    <w:rsid w:val="6CC45D67"/>
    <w:rsid w:val="6D0234EE"/>
    <w:rsid w:val="6DB77786"/>
    <w:rsid w:val="6EF10945"/>
    <w:rsid w:val="70D73CB6"/>
    <w:rsid w:val="70D81DB0"/>
    <w:rsid w:val="73BC1AF3"/>
    <w:rsid w:val="7476398A"/>
    <w:rsid w:val="74994B26"/>
    <w:rsid w:val="74E3171F"/>
    <w:rsid w:val="75117A87"/>
    <w:rsid w:val="751E1F1B"/>
    <w:rsid w:val="75483F48"/>
    <w:rsid w:val="76453DAB"/>
    <w:rsid w:val="771F640B"/>
    <w:rsid w:val="782F7403"/>
    <w:rsid w:val="799F0A03"/>
    <w:rsid w:val="79DE417B"/>
    <w:rsid w:val="79F04B67"/>
    <w:rsid w:val="7A9F2408"/>
    <w:rsid w:val="7ACA3EBD"/>
    <w:rsid w:val="7BA90697"/>
    <w:rsid w:val="7C155510"/>
    <w:rsid w:val="7CFE30E1"/>
    <w:rsid w:val="7D0753DD"/>
    <w:rsid w:val="7D967B30"/>
    <w:rsid w:val="7DA6089A"/>
    <w:rsid w:val="7E16711A"/>
    <w:rsid w:val="7EAC16E0"/>
    <w:rsid w:val="7F0C5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rFonts w:ascii="Calibri" w:hAnsi="Calibri" w:eastAsia="宋体" w:cs="Times New Roman"/>
      <w:color w:val="0000FF"/>
      <w:u w:val="single"/>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Calibri" w:hAnsi="Calibri" w:eastAsia="宋体" w:cs="Times New Roman"/>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22F50-389E-40FA-8302-78F0E3D995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628</Words>
  <Characters>3583</Characters>
  <Lines>29</Lines>
  <Paragraphs>8</Paragraphs>
  <TotalTime>116</TotalTime>
  <ScaleCrop>false</ScaleCrop>
  <LinksUpToDate>false</LinksUpToDate>
  <CharactersWithSpaces>4203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2018-11-12T06:49:00Z</dcterms:created>
  <dc:creator>周敏</dc:creator>
  <cp:lastModifiedBy>Administrator</cp:lastModifiedBy>
  <dcterms:modified xsi:type="dcterms:W3CDTF">2019-04-28T01:03:33Z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